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76" w:leader="none"/>
                <w:tab w:val="left" w:pos="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All Employees</w:t>
            </w:r>
          </w:p>
        </w:tc>
        <w:tc>
          <w:tcPr>
            <w:tcW w:w="1620" w:type="dxa"/>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David Oxley</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Human Resources</w:t>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Reminder:  Company’s Policies Regarding Communication Services, Equipment, and Internet Use</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b/>
                <w:bCs/>
                <w:spacing w:val="-2"/>
                <w:sz w:val="23"/>
              </w:rPr>
            </w:pPr>
            <w:r>
              <w:rPr>
                <w:rFonts w:cs="Times New Roman" w:ascii="Times New Roman" w:hAnsi="Times New Roman"/>
                <w:b/>
                <w:bCs/>
                <w:spacing w:val="-2"/>
                <w:sz w:val="23"/>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November 21,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The Company provides its employees with limited access to its communication services and equipment for the purpose of increasing efficiency in the conduct of the Company’s business.  Every employee must, at all times, behave professionally with respect to the use of the Company’s communication services and equipment.  In addition, the Company’s Internet Security Policy also requires that employees use good judgment in accessing and using the internet.  Violations of these policies are prohibited by the Code of Conduct, and may result in immediate discipline, up to and including termination.</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t>Employees must refrain from using the Company’s communication services and equipment, including posting on internet bulletin boards or chat rooms, to inappropriately discuss the Company’s current business situation and financial status, the Dynegy merger, speculation regarding work force reductions, and lawsuits, actual or threatened, against the Company.  Such conduct violates the Code of Ethics and will result in immediate discipline, up to and including termination for cause.  If you have any questions regarding whether your conduct might be considered a violation of these and other Company policies, please contact the Compliance Officer and/or you Human Resources representative who will provide further guidance.</w:t>
      </w:r>
    </w:p>
    <w:p>
      <w:pPr>
        <w:pStyle w:val="Normal"/>
        <w:tabs>
          <w:tab w:val="left" w:pos="-720" w:leader="none"/>
          <w:tab w:val="left" w:pos="540" w:leader="none"/>
        </w:tabs>
        <w:suppressAutoHyphens w:val="true"/>
        <w:ind w:end="144"/>
        <w:jc w:val="both"/>
        <w:rPr>
          <w:rFonts w:ascii="Times New Roman" w:hAnsi="Times New Roman" w:cs="Times New Roman"/>
          <w:spacing w:val="-3"/>
          <w:sz w:val="23"/>
        </w:rPr>
      </w:pPr>
      <w:r>
        <w:rPr>
          <w:rFonts w:cs="Times New Roman" w:ascii="Times New Roman" w:hAnsi="Times New Roman"/>
          <w:spacing w:val="-3"/>
          <w:sz w:val="23"/>
        </w:rPr>
      </w:r>
    </w:p>
    <w:sectPr>
      <w:headerReference w:type="default" r:id="rId3"/>
      <w:headerReference w:type="first" r:id="rId4"/>
      <w:footerReference w:type="default" r:id="rId5"/>
      <w:footerReference w:type="first" r:id="rId6"/>
      <w:type w:val="nextPage"/>
      <w:pgSz w:w="12240" w:h="15840"/>
      <w:pgMar w:left="1440" w:right="1440" w:gutter="0" w:header="720" w:top="776"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/mnt/main-storage/datasets/enron-docs/doc/164lmp.doc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left" w:pos="3780" w:leader="none"/>
        <w:tab w:val="center" w:pos="7560" w:leader="none"/>
        <w:tab w:val="right" w:pos="8640" w:leader="none"/>
        <w:tab w:val="right" w:pos="10800" w:leader="none"/>
      </w:tabs>
      <w:rPr>
        <w:sz w:val="12"/>
      </w:rPr>
    </w:pPr>
    <w:r>
      <w:rPr>
        <w:sz w:val="12"/>
      </w:rPr>
      <w:t>164lmp.doc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2001-11-20T21:27:00Z</dcterms:created>
  <dc:creator>Enron</dc:creator>
  <dc:description/>
  <dc:language>en-CA</dc:language>
  <cp:lastModifiedBy>Lizzette Palmer</cp:lastModifiedBy>
  <cp:lastPrinted>2001-11-20T17:59:00Z</cp:lastPrinted>
  <dcterms:modified xsi:type="dcterms:W3CDTF">2001-11-20T22:17:00Z</dcterms:modified>
  <cp:revision>4</cp:revision>
  <dc:subject/>
  <dc:title> </dc:title>
</cp:coreProperties>
</file>