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DRAFT OF 11/03/2000</w:t>
      </w:r>
    </w:p>
    <w:p>
      <w:pPr>
        <w:pStyle w:val="Normal"/>
        <w:jc w:val="end"/>
        <w:rPr>
          <w:b/>
          <w:bCs/>
          <w:sz w:val="22"/>
          <w:szCs w:val="22"/>
          <w:u w:val="single"/>
        </w:rPr>
      </w:pPr>
      <w:r>
        <w:rPr>
          <w:b/>
          <w:bCs/>
          <w:sz w:val="22"/>
          <w:szCs w:val="22"/>
          <w:u w:val="single"/>
        </w:rPr>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2000</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CITY OF EUGENE, acting by and through the EUGENE WATER &amp; ELECTRIC BOARD, a municipal corportion organized under the law of the State</w:t>
            </w:r>
            <w:r>
              <w:rPr>
                <w:b/>
                <w:bCs/>
                <w:sz w:val="22"/>
                <w:szCs w:val="22"/>
                <w:u w:val="single"/>
              </w:rPr>
              <w:t xml:space="preserve"> </w:t>
            </w:r>
            <w:r>
              <w:rPr>
                <w:b/>
                <w:bCs/>
                <w:sz w:val="22"/>
                <w:szCs w:val="22"/>
              </w:rPr>
              <w:t>of Oregon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and with respect to Party B, U.S. $100,000,000 (or its equivalent in another currency); and with respect to Party B’s Credit Support Provider, U.S. $7,500,000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szCs w:val="20"/>
        </w:rPr>
        <w:t>(c)</w:t>
      </w:r>
      <w:r>
        <w:rPr/>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 xml:space="preserve">.” </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720"/>
        <w:jc w:val="both"/>
        <w:rPr>
          <w:color w:val="800080"/>
          <w:sz w:val="22"/>
          <w:szCs w:val="22"/>
        </w:rPr>
      </w:pPr>
      <w:r>
        <w:rPr>
          <w:sz w:val="22"/>
          <w:szCs w:val="22"/>
        </w:rPr>
        <w:t>Party B is a municipal corporation organized under the laws of the State of Oregon.</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Eugene Water &amp; Electric Board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500 East 4th Avenue</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Eugene, Oregon 97440-2148</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Scott Spettel, Power Management and Planning Manager</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(541) 341-1889</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(541) 341-8564</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sz w:val="22"/>
          <w:szCs w:val="22"/>
        </w:rPr>
        <w:t>(k)</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sz w:val="22"/>
          <w:szCs w:val="22"/>
        </w:rPr>
      </w:pPr>
      <w:r>
        <w:rPr>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 </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sz w:val="22"/>
          <w:szCs w:val="22"/>
        </w:rPr>
      </w:pPr>
      <w:r>
        <w:rPr>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Normal"/>
        <w:jc w:val="both"/>
        <w:rPr>
          <w:sz w:val="22"/>
          <w:szCs w:val="22"/>
        </w:rPr>
      </w:pPr>
      <w:r>
        <w:rPr>
          <w:sz w:val="22"/>
          <w:szCs w:val="22"/>
        </w:rPr>
        <w:t xml:space="preserve">termination of this Agreement pursuant to the terms hereof shall remain, payable solely out of or from </w:t>
      </w:r>
      <w:r>
        <w:rPr>
          <w:i/>
          <w:iCs/>
          <w:sz w:val="22"/>
          <w:szCs w:val="22"/>
        </w:rPr>
        <w:t>[specify source of payments]_______________________________________.</w:t>
      </w:r>
      <w:r>
        <w:rPr>
          <w:i/>
          <w:iCs/>
          <w:sz w:val="22"/>
          <w:szCs w:val="22"/>
          <w:u w:val="single"/>
        </w:rPr>
        <w:t xml:space="preserve">                                </w:t>
      </w:r>
    </w:p>
    <w:p>
      <w:pPr>
        <w:pStyle w:val="Normal"/>
        <w:jc w:val="both"/>
        <w:rPr>
          <w:sz w:val="22"/>
          <w:szCs w:val="22"/>
        </w:rPr>
      </w:pPr>
      <w:r>
        <w:rPr>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Normal"/>
        <w:jc w:val="both"/>
        <w:rPr>
          <w:sz w:val="22"/>
          <w:szCs w:val="22"/>
        </w:rPr>
      </w:pPr>
      <w:r>
        <w:rPr>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(o)</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(t)</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(u)</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sz w:val="22"/>
          <w:szCs w:val="22"/>
        </w:rPr>
      </w:pPr>
      <w:r>
        <w:rPr>
          <w:sz w:val="22"/>
          <w:szCs w:val="22"/>
        </w:rPr>
        <w:t>(v)</w:t>
        <w:tab/>
        <w:t>Additional Definitions.  Section 14 of the Agreement is hereby amended by adding the following definitions:</w:t>
      </w:r>
    </w:p>
    <w:p>
      <w:pPr>
        <w:pStyle w:val="Normal"/>
        <w:spacing w:lineRule="exact" w:line="240"/>
        <w:ind w:hanging="720" w:start="1440" w:end="0"/>
        <w:jc w:val="both"/>
        <w:rPr>
          <w:sz w:val="22"/>
          <w:szCs w:val="22"/>
        </w:rPr>
      </w:pPr>
      <w:r>
        <w:rPr>
          <w:sz w:val="22"/>
          <w:szCs w:val="22"/>
        </w:rPr>
      </w:r>
    </w:p>
    <w:p>
      <w:pPr>
        <w:pStyle w:val="Normal"/>
        <w:spacing w:lineRule="exact" w:line="240"/>
        <w:ind w:hanging="720" w:start="1440" w:end="0"/>
        <w:jc w:val="both"/>
        <w:rPr>
          <w:sz w:val="22"/>
          <w:szCs w:val="22"/>
        </w:rPr>
      </w:pPr>
      <w:r>
        <w:rPr>
          <w:sz w:val="22"/>
          <w:szCs w:val="22"/>
        </w:rPr>
        <w:t>(i)</w:t>
        <w:tab/>
      </w:r>
      <w:r>
        <w:rPr>
          <w:b/>
          <w:bCs/>
          <w:sz w:val="22"/>
          <w:szCs w:val="22"/>
        </w:rPr>
        <w:t>“Authorizing Law”</w:t>
      </w:r>
      <w:r>
        <w:rPr>
          <w:sz w:val="22"/>
          <w:szCs w:val="22"/>
        </w:rPr>
        <w:t xml:space="preserve"> means </w:t>
      </w:r>
      <w:r>
        <w:rPr>
          <w:i/>
          <w:iCs/>
          <w:sz w:val="22"/>
          <w:szCs w:val="22"/>
        </w:rPr>
        <w:t>[specify any statute(s) authorizing Party B to enter into the Swap Agreement and related documents, and to pledge revenues hereunder and thereunder]___________________________________________.</w:t>
      </w:r>
    </w:p>
    <w:p>
      <w:pPr>
        <w:pStyle w:val="Normal"/>
        <w:spacing w:lineRule="exact" w:line="240"/>
        <w:ind w:start="720" w:end="0"/>
        <w:jc w:val="both"/>
        <w:rPr>
          <w:sz w:val="22"/>
          <w:szCs w:val="22"/>
        </w:rPr>
      </w:pPr>
      <w:r>
        <w:rPr>
          <w:sz w:val="22"/>
          <w:szCs w:val="22"/>
        </w:rPr>
      </w:r>
    </w:p>
    <w:p>
      <w:pPr>
        <w:pStyle w:val="Normal"/>
        <w:numPr>
          <w:ilvl w:val="0"/>
          <w:numId w:val="2"/>
        </w:numPr>
        <w:spacing w:lineRule="exact" w:line="240"/>
        <w:jc w:val="both"/>
        <w:rPr>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keepNext w:val="true"/>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CITY OF EUGENE, acting by and through the EUGENE WATER &amp; ELECTRIC BOARD</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pStyle w:val="Normal"/>
        <w:rPr>
          <w:sz w:val="22"/>
          <w:szCs w:val="22"/>
        </w:rPr>
      </w:pPr>
      <w:r>
        <w:rPr>
          <w:sz w:val="22"/>
          <w:szCs w:val="22"/>
        </w:rPr>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[Name of Entity]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2"/>
          <w:szCs w:val="22"/>
        </w:rPr>
      </w:pPr>
      <w:r>
        <w:rPr>
          <w:sz w:val="22"/>
          <w:szCs w:val="22"/>
        </w:rPr>
        <w:t>Very truly yours,</w:t>
      </w:r>
    </w:p>
    <w:p>
      <w:pPr>
        <w:sectPr>
          <w:headerReference w:type="default" r:id="rId3"/>
          <w:footerReference w:type="default" r:id="rId4"/>
          <w:footerReference w:type="first" r:id="rId5"/>
          <w:type w:val="nextPage"/>
          <w:pgSz w:w="12240" w:h="15840"/>
          <w:pgMar w:left="1440" w:right="1440" w:gutter="0" w:header="720" w:top="1440" w:footer="720" w:bottom="1440"/>
          <w:pgNumType w:start="1" w:fmt="decimal"/>
          <w:formProt w:val="false"/>
          <w:textDirection w:val="lrTb"/>
          <w:docGrid w:type="default" w:linePitch="360" w:charSpace="0"/>
        </w:sectPr>
        <w:pStyle w:val="Header"/>
        <w:widowControl/>
        <w:rPr>
          <w:sz w:val="22"/>
          <w:szCs w:val="22"/>
        </w:rPr>
      </w:pPr>
      <w:r>
        <w:rPr>
          <w:sz w:val="22"/>
          <w:szCs w:val="22"/>
        </w:rPr>
      </w:r>
    </w:p>
    <w:p>
      <w:pPr>
        <w:pStyle w:val="Heading6"/>
        <w:ind w:hanging="0" w:start="0"/>
        <w:rPr/>
      </w:pPr>
      <w:r>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sz w:val="22"/>
                <w:szCs w:val="22"/>
              </w:rPr>
              <w:t>CITY OF EUGENE, acting by and through the EUGENE WATER &amp; ELECTRIC BOARD, a municipal corporation organized under the law of the State of Oregon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[X]</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$10,000,000 and with respect to Party B, U.S. $1,000,000;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pPr>
      <w:r>
        <w:rPr>
          <w:color w:val="000000"/>
          <w:sz w:val="22"/>
          <w:szCs w:val="22"/>
        </w:rPr>
        <w:t xml:space="preserve">(1) Party A is not a Defaulting Party and </w:t>
      </w:r>
      <w:r>
        <w:rPr>
          <w:sz w:val="22"/>
          <w:szCs w:val="22"/>
        </w:rPr>
        <w:t>Party A’s Credit Support Provider</w:t>
      </w:r>
      <w:r>
        <w:rPr>
          <w:color w:val="000000"/>
          <w:sz w:val="22"/>
          <w:szCs w:val="22"/>
        </w:rPr>
        <w:t xml:space="preserve"> has a Credit Rating from S&amp;P and the lowest Credit Rating for </w:t>
      </w:r>
      <w:r>
        <w:rPr>
          <w:sz w:val="22"/>
          <w:szCs w:val="22"/>
        </w:rPr>
        <w:t>Party A’s Credit Support Provider</w:t>
      </w:r>
      <w:r>
        <w:rPr>
          <w:color w:val="000000"/>
          <w:sz w:val="22"/>
          <w:szCs w:val="22"/>
        </w:rPr>
        <w:t xml:space="preserve"> is “BBB-” or higher by S&amp;P.</w:t>
      </w:r>
    </w:p>
    <w:p>
      <w:pPr>
        <w:pStyle w:val="BodyTextIndent"/>
        <w:spacing w:lineRule="auto" w:line="240"/>
        <w:ind w:start="1080" w:end="0"/>
        <w:rPr>
          <w:color w:val="000000"/>
        </w:rPr>
      </w:pPr>
      <w:r>
        <w:rPr>
          <w:color w:val="000000"/>
        </w:rPr>
        <w:t>(2) Posted Collateral may be held only in the following jurisdictions:  Any jurisdiction within the United States.</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and the lowest Credit Rating for it is “BBB-” or higher by S&amp;P.</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hanging="720" w:start="2160" w:end="0"/>
        <w:jc w:val="both"/>
        <w:rPr>
          <w:color w:val="000000"/>
          <w:sz w:val="22"/>
          <w:szCs w:val="22"/>
        </w:rPr>
      </w:pPr>
      <w:r>
        <w:rPr>
          <w:color w:val="000000"/>
          <w:sz w:val="22"/>
          <w:szCs w:val="22"/>
        </w:rPr>
      </w:r>
    </w:p>
    <w:p>
      <w:pPr>
        <w:pStyle w:val="Normal"/>
        <w:keepNext w:val="true"/>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keepNext w:val="true"/>
        <w:ind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w:t>
      </w:r>
      <w:r>
        <w:rPr>
          <w:sz w:val="22"/>
          <w:szCs w:val="22"/>
        </w:rPr>
        <w:t>(a) with respect to Party A, its Credit Support Provider’s Credit Rating is below “BBB-” by S&amp;P</w:t>
      </w:r>
      <w:r>
        <w:rPr>
          <w:color w:val="FF0000"/>
          <w:sz w:val="22"/>
          <w:szCs w:val="22"/>
        </w:rPr>
        <w:t xml:space="preserve"> </w:t>
      </w:r>
      <w:r>
        <w:rPr>
          <w:sz w:val="22"/>
          <w:szCs w:val="22"/>
        </w:rPr>
        <w:t xml:space="preserve">or its Credit Support Provider fails to have a Credit Rating from S&amp;P; or (b) with respect to Party B, it shall have any of the following occur at any time: </w:t>
      </w:r>
      <w:r>
        <w:rPr>
          <w:color w:val="FF0000"/>
          <w:sz w:val="22"/>
          <w:szCs w:val="22"/>
        </w:rPr>
        <w:t xml:space="preserve"> </w:t>
      </w:r>
      <w:r>
        <w:rPr>
          <w:sz w:val="22"/>
          <w:szCs w:val="22"/>
        </w:rPr>
        <w:t>(i) its Credit Rating is below “BBB-” by S&amp;P</w:t>
      </w:r>
      <w:r>
        <w:rPr>
          <w:color w:val="FF0000"/>
          <w:sz w:val="22"/>
          <w:szCs w:val="22"/>
        </w:rPr>
        <w:t xml:space="preserve"> </w:t>
      </w:r>
      <w:r>
        <w:rPr>
          <w:sz w:val="22"/>
          <w:szCs w:val="22"/>
        </w:rPr>
        <w:t>or it fails to have a Credit Rating from S&amp;P; or (ii) its Net Worth falls below U.S. $140,000,000.</w:t>
      </w:r>
    </w:p>
    <w:p>
      <w:pPr>
        <w:pStyle w:val="Normal"/>
        <w:ind w:start="720" w:end="0"/>
        <w:jc w:val="both"/>
        <w:rPr>
          <w:color w:val="000000"/>
          <w:sz w:val="22"/>
          <w:szCs w:val="22"/>
        </w:rPr>
      </w:pPr>
      <w:r>
        <w:rPr>
          <w:color w:val="000000"/>
          <w:sz w:val="22"/>
          <w:szCs w:val="22"/>
        </w:rPr>
        <w:t xml:space="preserve"> </w:t>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keepLines/>
        <w:spacing w:lineRule="exact" w:line="240"/>
        <w:jc w:val="center"/>
        <w:rPr>
          <w:color w:val="000000"/>
          <w:sz w:val="22"/>
          <w:szCs w:val="22"/>
        </w:rPr>
      </w:pPr>
      <w:r>
        <w:rPr>
          <w:color w:val="000000"/>
          <w:sz w:val="22"/>
          <w:szCs w:val="22"/>
        </w:rPr>
      </w:r>
    </w:p>
    <w:p>
      <w:pPr>
        <w:sectPr>
          <w:headerReference w:type="default" r:id="rId14"/>
          <w:headerReference w:type="first" r:id="rId15"/>
          <w:footerReference w:type="default" r:id="rId16"/>
          <w:footerReference w:type="first" r:id="rId17"/>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Heading5"/>
        <w:rPr/>
      </w:pPr>
      <w:r>
        <w:rPr/>
        <w:t>EXHIBIT A</w:t>
      </w:r>
    </w:p>
    <w:p>
      <w:pPr>
        <w:pStyle w:val="Normal"/>
        <w:spacing w:lineRule="exact" w:line="240"/>
        <w:ind w:end="72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CITY OF EUGENE acting by and through EUGENE WATER &amp; ELECTRIC BOARD, an Oregon municipal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Eugene Water &amp; Electric Board</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500 East 4</w:t>
            </w:r>
            <w:r>
              <w:rPr>
                <w:color w:val="000000"/>
                <w:sz w:val="22"/>
                <w:szCs w:val="22"/>
                <w:vertAlign w:val="superscript"/>
              </w:rPr>
              <w:t>th</w:t>
            </w:r>
            <w:r>
              <w:rPr>
                <w:color w:val="000000"/>
                <w:sz w:val="22"/>
                <w:szCs w:val="22"/>
              </w:rPr>
              <w:t xml:space="preserve"> Avenue</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Eugene, Oregon 97440-2148</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Scott Spettel, Power Management and Planning Manager</w:t>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(541) 341-1889</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720"/>
        <w:jc w:val="center"/>
        <w:rPr>
          <w:b/>
          <w:bCs/>
          <w:sz w:val="22"/>
          <w:szCs w:val="22"/>
        </w:rPr>
      </w:pPr>
      <w:r>
        <w:rPr>
          <w:b/>
          <w:bCs/>
          <w:sz w:val="22"/>
          <w:szCs w:val="22"/>
        </w:rPr>
      </w:r>
    </w:p>
    <w:sectPr>
      <w:headerReference w:type="default" r:id="rId18"/>
      <w:headerReference w:type="first" r:id="rId19"/>
      <w:footerReference w:type="default" r:id="rId20"/>
      <w:footerReference w:type="first" r:id="rId2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/mnt/main-storage/datasets/enron-docs/doc/164ctr.doc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/mnt/main-storage/datasets/enron-docs/doc/164ctr.doc</w:t>
    </w:r>
    <w:r>
      <w:rPr>
        <w:rStyle w:val="PageNumber"/>
        <w:sz w:val="16"/>
        <w:szCs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/mnt/main-storage/datasets/enron-docs/doc/164ctr.doc</w:t>
    </w:r>
    <w:r>
      <w:rPr>
        <w:rStyle w:val="PageNumber"/>
        <w:sz w:val="16"/>
        <w:szCs w:val="16"/>
      </w:rPr>
      <w:fldChar w:fldCharType="end"/>
    </w:r>
  </w:p>
  <w:p>
    <w:pPr>
      <w:pStyle w:val="Footer"/>
      <w:jc w:val="center"/>
      <w:rPr/>
    </w:pPr>
    <w:r>
      <w:rPr>
        <w:rStyle w:val="PageNumber"/>
        <w:sz w:val="20"/>
        <w:szCs w:val="16"/>
      </w:rPr>
      <w:t>Attachment 1</w:t>
    </w:r>
  </w:p>
  <w:p>
    <w:pPr>
      <w:pStyle w:val="Footer"/>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/mnt/main-storage/datasets/enron-docs/doc/164ctr.doc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/mnt/main-storage/datasets/enron-docs/doc/164ctr.doc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/mnt/main-storage/datasets/enron-docs/doc/164ctr.doc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jc w:val="center"/>
      <w:outlineLvl w:val="5"/>
    </w:pPr>
    <w:rPr>
      <w:b/>
      <w:bCs/>
      <w:color w:val="000000"/>
      <w:sz w:val="22"/>
      <w:szCs w:val="22"/>
      <w:u w:val="single"/>
    </w:rPr>
  </w:style>
  <w:style w:type="paragraph" w:styleId="Heading7">
    <w:name w:val="heading 7"/>
    <w:basedOn w:val="Normal"/>
    <w:next w:val="Normal"/>
    <w:qFormat/>
    <w:pPr>
      <w:keepNext w:val="true"/>
      <w:numPr>
        <w:ilvl w:val="6"/>
        <w:numId w:val="1"/>
      </w:numPr>
      <w:jc w:val="end"/>
      <w:outlineLvl w:val="6"/>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2000-11-03T18:00:00Z</dcterms:created>
  <dc:creator>mheard</dc:creator>
  <dc:description/>
  <dc:language>en-CA</dc:language>
  <cp:lastModifiedBy>sbaile2</cp:lastModifiedBy>
  <cp:lastPrinted>2000-11-03T16:32:00Z</cp:lastPrinted>
  <dcterms:modified xsi:type="dcterms:W3CDTF">2000-11-06T18:11:00Z</dcterms:modified>
  <cp:revision>1</cp:revision>
  <dc:subject/>
  <dc:title>ISDA Multicurrency Agreement</dc:title>
</cp:coreProperties>
</file>