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180"/>
          <w:tab w:val="clear" w:pos="1170"/>
        </w:tabs>
        <w:rPr/>
      </w:pPr>
      <w:r>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Company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4 or the governing law or arbitration provisions of Section 6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Company,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Company):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r>
        <w:br w:type="page"/>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000000"/>
        </w:rPr>
      </w:pPr>
      <w:r>
        <w:rPr>
          <w:rFonts w:cs="Arial Narrow" w:ascii="Arial Narrow" w:hAnsi="Arial Narrow"/>
          <w:b/>
          <w:color w:val="000000"/>
        </w:rPr>
        <w:t>Catalytica, Inc.</w:t>
      </w:r>
    </w:p>
    <w:p>
      <w:pPr>
        <w:pStyle w:val="Normal"/>
        <w:jc w:val="center"/>
        <w:rPr>
          <w:rFonts w:ascii="Arial Narrow" w:hAnsi="Arial Narrow" w:cs="Arial Narrow"/>
          <w:b/>
          <w:color w:val="000000"/>
          <w:sz w:val="18"/>
        </w:rPr>
      </w:pPr>
      <w:r>
        <w:rPr>
          <w:rFonts w:cs="Arial Narrow" w:ascii="Arial Narrow" w:hAnsi="Arial Narrow"/>
          <w:b/>
          <w:color w:val="00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(g)</w:t>
        <w:tab/>
        <w:t>the failure in the payment when due (whether at maturity, by acceleration, or otherwise) of any obligation in respect of borrowed money, in an aggregate amount in excess of $10,000,000 with respect to Counterparty, or $50,000,000 with respect to Company,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/mnt/main-storage/datasets/enron-docs/doc/164conf.doc</w:t>
    </w:r>
    <w:r>
      <w:rPr>
        <w:sz w:val="16"/>
        <w:rFonts w:cs="Arial Narrow" w:ascii="Arial Narrow" w:hAnsi="Arial Narrow"/>
        <w:lang w:eastAsia="en-US"/>
      </w:rPr>
      <w:fldChar w:fldCharType="end"/>
    </w:r>
  </w:p>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1999-11-02T21:09:00Z</dcterms:created>
  <dc:creator>mheard</dc:creator>
  <dc:description/>
  <dc:language>en-CA</dc:language>
  <cp:lastModifiedBy>mheard</cp:lastModifiedBy>
  <cp:lastPrinted>1999-11-02T17:48:00Z</cp:lastPrinted>
  <dcterms:modified xsi:type="dcterms:W3CDTF">1999-11-02T21:19:00Z</dcterms:modified>
  <cp:revision>2</cp:revision>
  <dc:subject/>
  <dc:title>This Annex A supplements, forms part of, and is incorporated into the Confirmation to which this Annex A is attached</dc:title>
</cp:coreProperties>
</file>