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sz w:val="22"/>
          <w:szCs w:val="22"/>
          <w:u w:val="single"/>
        </w:rPr>
      </w:pPr>
      <w:r>
        <w:rPr>
          <w:b/>
          <w:bCs/>
          <w:sz w:val="22"/>
          <w:szCs w:val="22"/>
          <w:u w:val="single"/>
        </w:rPr>
        <w:t>DRAFT OF 02/16/2001</w:t>
      </w:r>
    </w:p>
    <w:p>
      <w:pPr>
        <w:pStyle w:val="Normal"/>
        <w:jc w:val="end"/>
        <w:rPr>
          <w:b/>
          <w:bCs/>
          <w:sz w:val="22"/>
          <w:szCs w:val="22"/>
          <w:u w:val="single"/>
        </w:rPr>
      </w:pPr>
      <w:r>
        <w:rPr>
          <w:b/>
          <w:bCs/>
          <w:sz w:val="22"/>
          <w:szCs w:val="22"/>
          <w:u w:val="single"/>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FIRST UNION NATIONAL BANK, a national banking association organized under the law of the United States of America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  However, the words “, or becoming capable at such time of being declared,” as they appear in Section 5(a)(vi) are hereby deleted.</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 (or its equivalent in another currency); with respect to Party A’s Credit Support Provider, U.S. $100,000,000 (or its equivalent in another currency); and with respect to Party B, U.S. $100,000,000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szCs w:val="22"/>
        </w:rPr>
        <w:t xml:space="preserve"> </w:t>
      </w: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 and to any Credit Support Provider of Party A or Party B.</w:t>
      </w:r>
    </w:p>
    <w:p>
      <w:pPr>
        <w:pStyle w:val="Normal"/>
        <w:spacing w:lineRule="exact" w:line="240" w:before="240" w:after="0"/>
        <w:ind w:firstLine="720" w:end="0"/>
        <w:jc w:val="both"/>
        <w:rPr/>
      </w:pPr>
      <w:r>
        <w:rPr>
          <w:sz w:val="22"/>
          <w:szCs w:val="22"/>
        </w:rPr>
        <w:t xml:space="preserve"> </w:t>
      </w: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 xml:space="preserve"> </w:t>
      </w:r>
      <w:r>
        <w:rPr>
          <w:sz w:val="22"/>
          <w:szCs w:val="22"/>
        </w:rPr>
        <w:t>(e)</w:t>
        <w:tab/>
      </w:r>
      <w:r>
        <w:rPr>
          <w:b/>
          <w:bCs/>
          <w:sz w:val="22"/>
          <w:szCs w:val="22"/>
        </w:rPr>
        <w:t>Payments on Early Termination.</w:t>
      </w:r>
      <w:r>
        <w:rPr>
          <w:sz w:val="22"/>
          <w:szCs w:val="22"/>
        </w:rPr>
        <w:t xml:space="preserve">  For the purpose of Section 6(e):  (i) Loss will apply, and (ii) the Second Method will apply. </w:t>
      </w:r>
    </w:p>
    <w:p>
      <w:pPr>
        <w:pStyle w:val="Normal"/>
        <w:spacing w:lineRule="exact" w:line="240" w:before="240" w:after="0"/>
        <w:ind w:firstLine="720" w:end="0"/>
        <w:jc w:val="both"/>
        <w:rPr/>
      </w:pPr>
      <w:r>
        <w:rPr>
          <w:sz w:val="22"/>
          <w:szCs w:val="22"/>
        </w:rPr>
        <w:t xml:space="preserve"> </w:t>
      </w: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 xml:space="preserve"> </w:t>
      </w: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keepNext w:val="true"/>
        <w:spacing w:lineRule="exact" w:line="240" w:before="480" w:after="0"/>
        <w:jc w:val="both"/>
        <w:rPr>
          <w:sz w:val="22"/>
          <w:szCs w:val="22"/>
        </w:rPr>
      </w:pPr>
      <w:r>
        <w:rPr>
          <w:b/>
          <w:bCs/>
          <w:sz w:val="22"/>
          <w:szCs w:val="22"/>
        </w:rPr>
        <w:t>Part 2.  Tax Representations.</w:t>
      </w:r>
    </w:p>
    <w:p>
      <w:pPr>
        <w:pStyle w:val="Normal"/>
        <w:keepNext w:val="true"/>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keepNext w:val="true"/>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720"/>
        <w:jc w:val="both"/>
        <w:rPr>
          <w:color w:val="800080"/>
          <w:sz w:val="22"/>
          <w:szCs w:val="22"/>
        </w:rPr>
      </w:pPr>
      <w:r>
        <w:rPr>
          <w:sz w:val="22"/>
          <w:szCs w:val="22"/>
        </w:rPr>
        <w:t>Party B is a national banking association organized under the laws of the United States of America and is treated as a corporation for United States tax purposes.</w:t>
      </w:r>
      <w:r>
        <w:rPr>
          <w:color w:val="FF0000"/>
          <w:sz w:val="22"/>
          <w:szCs w:val="22"/>
        </w:rPr>
        <w:t xml:space="preserve"> </w:t>
      </w:r>
    </w:p>
    <w:p>
      <w:pPr>
        <w:pStyle w:val="Normal"/>
        <w:spacing w:lineRule="exact" w:line="240" w:before="480" w:after="0"/>
        <w:jc w:val="both"/>
        <w:rPr>
          <w:sz w:val="22"/>
          <w:szCs w:val="22"/>
        </w:rPr>
      </w:pPr>
      <w:r>
        <w:rPr>
          <w:b/>
          <w:bCs/>
          <w:sz w:val="22"/>
          <w:szCs w:val="22"/>
        </w:rPr>
        <w:t>Part 3.  Agreement to Deliver Documents.</w:t>
      </w:r>
    </w:p>
    <w:p>
      <w:pPr>
        <w:pStyle w:val="Normal"/>
        <w:spacing w:lineRule="exact" w:line="240" w:before="240" w:after="0"/>
        <w:ind w:firstLine="720" w:end="0"/>
        <w:jc w:val="both"/>
        <w:rPr>
          <w:color w:val="000000"/>
          <w:sz w:val="22"/>
          <w:szCs w:val="22"/>
        </w:rPr>
      </w:pPr>
      <w:r>
        <w:rPr>
          <w:sz w:val="22"/>
          <w:szCs w:val="22"/>
        </w:rPr>
        <w:t>For the purpose of Section 4(a), each party agrees to deliver the following documents, as applicable:</w:t>
      </w:r>
    </w:p>
    <w:p>
      <w:pPr>
        <w:pStyle w:val="Normal"/>
        <w:tabs>
          <w:tab w:val="clear" w:pos="720"/>
          <w:tab w:val="left" w:pos="990" w:leader="none"/>
        </w:tabs>
        <w:spacing w:lineRule="exact" w:line="240" w:before="240" w:after="0"/>
        <w:jc w:val="both"/>
        <w:rPr>
          <w:sz w:val="22"/>
          <w:szCs w:val="22"/>
        </w:rPr>
      </w:pPr>
      <w:r>
        <w:rPr>
          <w:sz w:val="22"/>
          <w:szCs w:val="22"/>
        </w:rPr>
        <w:t>(a)</w:t>
        <w:tab/>
        <w:t>Tax forms, documents, or certificates to be delivered are:  United States Internal Revenue Service Form W</w:t>
        <w:noBreakHyphen/>
        <w:t>9.</w:t>
      </w:r>
    </w:p>
    <w:p>
      <w:pPr>
        <w:pStyle w:val="Normal"/>
        <w:spacing w:lineRule="exact" w:line="240" w:before="240" w:after="0"/>
        <w:jc w:val="both"/>
        <w:rPr/>
      </w:pPr>
      <w:r>
        <w:rPr>
          <w:color w:val="FF0000"/>
          <w:sz w:val="22"/>
          <w:szCs w:val="22"/>
        </w:rPr>
        <w:t xml:space="preserve"> </w:t>
      </w: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 promptly upon reasonable demand of the other party; and promptly upon a party’s learning that any such form previously provided by such party has become obsolete or incorrect</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napToGrid w:val="false"/>
              <w:spacing w:lineRule="atLeast" w:line="240" w:before="240" w:after="0"/>
              <w:rPr>
                <w:rFonts w:ascii="Times New Roman" w:hAnsi="Times New Roman" w:cs="Times New Roman"/>
                <w:b/>
                <w:bCs/>
                <w:sz w:val="22"/>
                <w:szCs w:val="22"/>
              </w:rPr>
            </w:pPr>
            <w:r>
              <w:rPr>
                <w:rFonts w:cs="Times New Roman" w:ascii="Times New Roman" w:hAnsi="Times New Roman"/>
                <w:b/>
                <w:bCs/>
                <w:sz w:val="22"/>
                <w:szCs w:val="22"/>
              </w:rPr>
            </w:r>
          </w:p>
        </w:tc>
        <w:tc>
          <w:tcPr>
            <w:tcW w:w="3886" w:type="dxa"/>
            <w:tcBorders/>
          </w:tcPr>
          <w:p>
            <w:pPr>
              <w:pStyle w:val="Normal"/>
              <w:snapToGrid w:val="false"/>
              <w:spacing w:lineRule="atLeast" w:line="240" w:before="240" w:after="0"/>
              <w:jc w:val="both"/>
              <w:rPr>
                <w:rFonts w:ascii="Times New Roman" w:hAnsi="Times New Roman" w:cs="Times New Roman"/>
                <w:sz w:val="22"/>
                <w:szCs w:val="22"/>
              </w:rPr>
            </w:pPr>
            <w:r>
              <w:rPr>
                <w:rFonts w:cs="Times New Roman"/>
                <w:sz w:val="22"/>
                <w:szCs w:val="22"/>
              </w:rPr>
            </w:r>
          </w:p>
        </w:tc>
        <w:tc>
          <w:tcPr>
            <w:tcW w:w="2228" w:type="dxa"/>
            <w:tcBorders/>
          </w:tcPr>
          <w:p>
            <w:pPr>
              <w:pStyle w:val="Justified"/>
              <w:widowControl/>
              <w:snapToGrid w:val="false"/>
              <w:spacing w:lineRule="atLeast" w:line="240" w:before="240" w:after="0"/>
              <w:jc w:val="start"/>
              <w:rPr>
                <w:rFonts w:ascii="Times New Roman" w:hAnsi="Times New Roman" w:cs="Times New Roman"/>
                <w:sz w:val="22"/>
                <w:szCs w:val="22"/>
              </w:rPr>
            </w:pPr>
            <w:r>
              <w:rPr>
                <w:rFonts w:cs="Times New Roman" w:ascii="Times New Roman" w:hAnsi="Times New Roman"/>
                <w:sz w:val="22"/>
                <w:szCs w:val="22"/>
              </w:rPr>
            </w:r>
          </w:p>
        </w:tc>
        <w:tc>
          <w:tcPr>
            <w:tcW w:w="1985" w:type="dxa"/>
            <w:tcBorders/>
          </w:tcPr>
          <w:p>
            <w:pPr>
              <w:pStyle w:val="Justified"/>
              <w:widowControl/>
              <w:snapToGrid w:val="false"/>
              <w:spacing w:lineRule="atLeast" w:line="240" w:before="240" w:after="0"/>
              <w:jc w:val="center"/>
              <w:rPr>
                <w:rFonts w:ascii="Times New Roman" w:hAnsi="Times New Roman" w:cs="Times New Roman"/>
              </w:rPr>
            </w:pPr>
            <w:r>
              <w:rPr>
                <w:rFonts w:cs="Times New Roman" w:ascii="Times New Roman" w:hAnsi="Times New Roman"/>
              </w:rPr>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Quarterly call reports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fiscal quarter of each fiscal year of Party B if such call report is not available at www.fdic.gov</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Justified"/>
              <w:keepNext w:val="true"/>
              <w:widowControl/>
              <w:tabs>
                <w:tab w:val="clear" w:pos="720"/>
                <w:tab w:val="left" w:pos="3762" w:leader="none"/>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First Union National Bank</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301 South College Street</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Charlotte, North Carolina 28288-0600</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Bruce Young, Sr. Vice President, Risk Management</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Facsimile No.:  (704) 383-0575</w:t>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Telephone No.: (704) 383-8778</w:t>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Calculation Agent means Party A, unless Party A is a Defaulting Party in which case a bank or financial institution acceptable to both parties shall be appointed to act as Calculation Agent.  All calculations may be independently confirmed by each party and in the event calculations are inconsistent, Party A and Party B shall seek to resolve the inconsistency in good faith.</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keepNext w:val="true"/>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Financial Dispute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Financial Dispute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Atlanta, Georgia.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szCs w:val="22"/>
        </w:rPr>
        <w:t>(g)</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and with respect to Party A only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and with respect to Party A only,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sz w:val="22"/>
          <w:szCs w:val="22"/>
        </w:rPr>
        <w:t xml:space="preserve"> </w:t>
      </w:r>
      <w:r>
        <w:rPr>
          <w:sz w:val="22"/>
          <w:szCs w:val="22"/>
        </w:rPr>
        <w:t>(h)</w:t>
        <w:tab/>
      </w:r>
      <w:r>
        <w:rPr>
          <w:b/>
          <w:bCs/>
          <w:sz w:val="22"/>
          <w:szCs w:val="22"/>
        </w:rPr>
        <w:t>Eligible Swap Participant.</w:t>
      </w:r>
      <w:r>
        <w:rPr>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szCs w:val="22"/>
        </w:rPr>
        <w:t>(i)</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szCs w:val="22"/>
        </w:rPr>
        <w:t>(j)</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Additional Representations and Agreements.</w:t>
      </w:r>
      <w:r>
        <w:rPr>
          <w:sz w:val="22"/>
          <w:szCs w:val="22"/>
        </w:rPr>
        <w:t xml:space="preserve">  For the purpose of Section 3 of the Agreement, Party B further represents and warrants to Party A (which representations will be deemed to be repeated by Party B on each date on which a Transaction is entered into), and agrees with Party A as follows:</w:t>
      </w:r>
    </w:p>
    <w:p>
      <w:pPr>
        <w:pStyle w:val="Normal"/>
        <w:spacing w:lineRule="exact" w:line="240" w:before="240" w:after="0"/>
        <w:ind w:hanging="720" w:start="1440" w:end="0"/>
        <w:jc w:val="both"/>
        <w:rPr>
          <w:sz w:val="22"/>
          <w:szCs w:val="22"/>
        </w:rPr>
      </w:pPr>
      <w:r>
        <w:rPr>
          <w:sz w:val="22"/>
          <w:szCs w:val="22"/>
        </w:rPr>
        <w:t>(i)</w:t>
        <w:tab/>
        <w:t>The necessary action to authorize referred to in the representation in Section 3(a)(ii) includes all authorizations required under the FDI Act.</w:t>
      </w:r>
    </w:p>
    <w:p>
      <w:pPr>
        <w:pStyle w:val="BodyTextIndent2"/>
        <w:widowControl/>
        <w:tabs>
          <w:tab w:val="clear" w:pos="1350"/>
        </w:tabs>
        <w:spacing w:lineRule="exact" w:line="240" w:before="240" w:after="0"/>
        <w:ind w:hanging="720" w:start="1440" w:end="0"/>
        <w:rPr>
          <w:rFonts w:ascii="Times New Roman" w:hAnsi="Times New Roman" w:cs="Times New Roman"/>
        </w:rPr>
      </w:pPr>
      <w:r>
        <w:rPr>
          <w:rFonts w:cs="Times New Roman" w:ascii="Times New Roman" w:hAnsi="Times New Roman"/>
        </w:rPr>
        <w:t>(ii)</w:t>
        <w:tab/>
        <w:t>At all times during the term of this Agreement and any Credit Support Document to which it is a party, Party B will continuously include and maintain as part of its official written books and records this Agreement, any Credit Support Document to which it is a party, and all other exhibits, supplements, and attachments hereto and documents incorporated by reference herein, all Confirmations, and evidence of all necessary authorizations.</w:t>
      </w:r>
    </w:p>
    <w:p>
      <w:pPr>
        <w:pStyle w:val="Normal"/>
        <w:spacing w:lineRule="exact" w:line="240" w:before="240" w:after="0"/>
        <w:ind w:hanging="720" w:start="1440" w:end="0"/>
        <w:jc w:val="both"/>
        <w:rPr>
          <w:sz w:val="22"/>
          <w:szCs w:val="22"/>
        </w:rPr>
      </w:pPr>
      <w:r>
        <w:rPr>
          <w:sz w:val="22"/>
          <w:szCs w:val="22"/>
        </w:rPr>
        <w:t>(iii)</w:t>
        <w:tab/>
        <w:t xml:space="preserve">This Agreement, any Credit Support Document to which Party B is a party, each Confirmation, and any other documentation relating to this Agreement to which it is a party or that it is required to deliver will be executed and delivered by a duly appointed or elected and authorized officer of Party B. </w:t>
      </w:r>
    </w:p>
    <w:p>
      <w:pPr>
        <w:pStyle w:val="Normal"/>
        <w:spacing w:lineRule="exact" w:line="240" w:before="240" w:after="0"/>
        <w:ind w:firstLine="720" w:end="0"/>
        <w:jc w:val="both"/>
        <w:rPr/>
      </w:pPr>
      <w:r>
        <w:rPr>
          <w:sz w:val="22"/>
          <w:szCs w:val="22"/>
        </w:rPr>
        <w:t xml:space="preserve"> </w:t>
      </w:r>
      <w:r>
        <w:rPr>
          <w:sz w:val="22"/>
          <w:szCs w:val="22"/>
        </w:rPr>
        <w:t>(d)</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(e)</w:t>
        <w:tab/>
      </w:r>
      <w:r>
        <w:rPr>
          <w:b/>
          <w:bCs/>
          <w:sz w:val="22"/>
          <w:szCs w:val="22"/>
        </w:rPr>
        <w:t>Definitions.</w:t>
      </w:r>
      <w:r>
        <w:rPr>
          <w:sz w:val="22"/>
          <w:szCs w:val="22"/>
        </w:rPr>
        <w:t xml:space="preserve">  This Agreement, each Confirmation, and each Transaction are subject to the 2000 ISDA Definitions( the “Definitions”),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(f)</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received by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(g)</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in connection with this Agreement or any Transaction, and waives any further notice of such recording.  Absent an executed Confirmation, such recordings may be submitted in evidence in proceedings to establish any matters pertinent to this Agreement or any Transaction.</w:t>
      </w:r>
    </w:p>
    <w:p>
      <w:pPr>
        <w:pStyle w:val="Normal"/>
        <w:spacing w:lineRule="exact" w:line="240" w:before="240" w:after="0"/>
        <w:ind w:firstLine="720" w:end="0"/>
        <w:jc w:val="both"/>
        <w:rPr/>
      </w:pPr>
      <w:r>
        <w:rPr>
          <w:sz w:val="22"/>
          <w:szCs w:val="22"/>
        </w:rPr>
        <w:t>(h)</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(i)</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(j)</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(k)</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organized in the United States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(l)</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(m)</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2000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sz w:val="22"/>
          <w:szCs w:val="22"/>
        </w:rPr>
      </w:pPr>
      <w:r>
        <w:rPr>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Normal"/>
        <w:jc w:val="both"/>
        <w:rPr>
          <w:sz w:val="22"/>
          <w:szCs w:val="22"/>
        </w:rPr>
      </w:pPr>
      <w:r>
        <w:rPr>
          <w:b/>
          <w:bCs/>
          <w:sz w:val="22"/>
          <w:szCs w:val="22"/>
        </w:rPr>
        <w:t>Part 7.  Additional Terms for FX Transactions and Currency Option Transactions.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(a)</w:t>
        <w:tab/>
      </w:r>
      <w:r>
        <w:rPr>
          <w:b/>
          <w:bCs/>
          <w:sz w:val="22"/>
          <w:szCs w:val="22"/>
        </w:rPr>
        <w:t>Standard Terms and Conditions Applicable to FX Transactions and Currency Option Transactions.</w:t>
      </w:r>
      <w:r>
        <w:rPr>
          <w:sz w:val="22"/>
          <w:szCs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jc w:val="both"/>
        <w:rPr>
          <w:sz w:val="22"/>
          <w:szCs w:val="22"/>
        </w:rPr>
      </w:pPr>
      <w:r>
        <w:rPr>
          <w:spacing w:val="-3"/>
          <w:sz w:val="22"/>
          <w:szCs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(b)</w:t>
        <w:tab/>
      </w:r>
      <w:r>
        <w:rPr>
          <w:b/>
          <w:bCs/>
          <w:sz w:val="22"/>
          <w:szCs w:val="22"/>
        </w:rPr>
        <w:t>Incorporation of and Amendments to ISDA FX Definitions.</w:t>
      </w:r>
      <w:r>
        <w:rPr>
          <w:sz w:val="22"/>
          <w:szCs w:val="22"/>
        </w:rPr>
        <w:t xml:space="preserve">  The 1998 ISDA FX and Currency Option Definitions (the "FX and Currency Option Definitions"), published by the International Swaps and Derivatives Association, Inc. are hereby incorporated by reference with respect to any "FX Transaction" and "Currency Option Transaction" as defined by the FX and Currency Option Definitions, except as otherwise specifically provided herein or in a Confirmation.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sz w:val="22"/>
          <w:szCs w:val="22"/>
        </w:rPr>
      </w:pPr>
      <w:r>
        <w:rPr>
          <w:sz w:val="22"/>
          <w:szCs w:val="22"/>
        </w:rPr>
        <w:t>The following amendment is made to the FX and Currency Option Definitions: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 xml:space="preserve">"Section 3.4(c).  </w:t>
      </w:r>
      <w:r>
        <w:rPr>
          <w:b/>
          <w:bCs/>
          <w:sz w:val="22"/>
          <w:szCs w:val="22"/>
        </w:rPr>
        <w:t>Terms Relating to Payment of Premium.</w:t>
      </w:r>
    </w:p>
    <w:p>
      <w:pPr>
        <w:pStyle w:val="Normal"/>
        <w:tabs>
          <w:tab w:val="clear" w:pos="720"/>
          <w:tab w:val="left" w:pos="1350" w:leader="none"/>
        </w:tabs>
        <w:ind w:start="720" w:end="0"/>
        <w:jc w:val="both"/>
        <w:rPr>
          <w:sz w:val="22"/>
          <w:szCs w:val="22"/>
        </w:rPr>
      </w:pPr>
      <w:r>
        <w:rPr>
          <w:sz w:val="22"/>
          <w:szCs w:val="22"/>
        </w:rPr>
      </w:r>
    </w:p>
    <w:p>
      <w:pPr>
        <w:pStyle w:val="BodyTextIndent3"/>
        <w:widowControl/>
        <w:spacing w:lineRule="auto" w:line="240"/>
        <w:ind w:hanging="720" w:start="1440" w:end="0"/>
        <w:rPr/>
      </w:pPr>
      <w:r>
        <w:rPr/>
        <w:t>(i)</w:t>
        <w:tab/>
        <w:t>Unless otherwise agreed in writing by the parties, the Premium related to a Currency Option Transaction shall be paid on its Premium Payment Date in immediately available funds.</w:t>
      </w:r>
    </w:p>
    <w:p>
      <w:pPr>
        <w:pStyle w:val="Normal"/>
        <w:tabs>
          <w:tab w:val="clear" w:pos="720"/>
          <w:tab w:val="left" w:pos="1350" w:leader="none"/>
        </w:tabs>
        <w:ind w:hanging="720" w:start="1440" w:end="0"/>
        <w:jc w:val="both"/>
        <w:rPr>
          <w:sz w:val="22"/>
          <w:szCs w:val="22"/>
        </w:rPr>
      </w:pPr>
      <w:r>
        <w:rPr>
          <w:sz w:val="22"/>
          <w:szCs w:val="22"/>
        </w:rPr>
      </w:r>
    </w:p>
    <w:p>
      <w:pPr>
        <w:pStyle w:val="BodyTextIndent2"/>
        <w:widowControl/>
        <w:tabs>
          <w:tab w:val="clear" w:pos="1350"/>
        </w:tabs>
        <w:ind w:hanging="720" w:start="1440" w:end="0"/>
        <w:rPr>
          <w:rFonts w:ascii="Times New Roman" w:hAnsi="Times New Roman" w:cs="Times New Roman"/>
        </w:rPr>
      </w:pPr>
      <w:r>
        <w:rPr>
          <w:rFonts w:cs="Times New Roman" w:ascii="Times New Roman" w:hAnsi="Times New Roman"/>
        </w:rPr>
        <w:t>(ii)</w:t>
        <w:tab/>
        <w:t>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Justified"/>
        <w:widowControl/>
        <w:spacing w:before="0" w:after="0"/>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s>
        <w:jc w:val="both"/>
        <w:rPr/>
      </w:pPr>
      <w:r>
        <w:rPr>
          <w:b/>
          <w:bCs/>
          <w:sz w:val="22"/>
          <w:szCs w:val="22"/>
        </w:rPr>
        <w:tab/>
      </w:r>
      <w:r>
        <w:rPr>
          <w:sz w:val="22"/>
          <w:szCs w:val="22"/>
        </w:rPr>
        <w:t>(c)</w:t>
      </w:r>
      <w:r>
        <w:rPr>
          <w:b/>
          <w:bCs/>
          <w:sz w:val="22"/>
          <w:szCs w:val="22"/>
        </w:rPr>
        <w:tab/>
        <w:t>Discharge and Termination of Currency Option Transactions.</w:t>
      </w:r>
      <w:r>
        <w:rPr>
          <w:sz w:val="22"/>
          <w:szCs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iCs/>
          <w:sz w:val="22"/>
          <w:szCs w:val="22"/>
        </w:rPr>
        <w:t>provided that</w:t>
      </w:r>
      <w:r>
        <w:rPr>
          <w:sz w:val="22"/>
          <w:szCs w:val="22"/>
        </w:rPr>
        <w:t>, such termination and discharge may only occur in respect of Currency Option Transactions:</w:t>
      </w:r>
    </w:p>
    <w:p>
      <w:pPr>
        <w:pStyle w:val="Normal"/>
        <w:jc w:val="both"/>
        <w:rPr>
          <w:b/>
          <w:bCs/>
          <w:sz w:val="22"/>
          <w:szCs w:val="22"/>
        </w:rPr>
      </w:pPr>
      <w:r>
        <w:rPr>
          <w:b/>
          <w:bCs/>
          <w:sz w:val="22"/>
          <w:szCs w:val="22"/>
        </w:rPr>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t>(i)</w:t>
        <w:tab/>
        <w:t>each being with respect to the same Put Currency and the same Call Currency;</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w:t>
        <w:tab/>
        <w:t>each having the same Expiration Date and Expiration Time;</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(iii)</w:t>
        <w:tab/>
        <w:t>each being of the same style, i.e. either both being American Style Options or both being European Style Options;</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(iv)</w:t>
        <w:tab/>
        <w:t>each having the same Strike Price; and</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(v)</w:t>
        <w:tab/>
        <w:t>neither of which shall have been exercised by delivery of a Notice of Exercise;</w:t>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r>
    </w:p>
    <w:p>
      <w:pPr>
        <w:pStyle w:val="Normal"/>
        <w:jc w:val="both"/>
        <w:rPr>
          <w:sz w:val="22"/>
          <w:szCs w:val="22"/>
        </w:rPr>
      </w:pPr>
      <w:r>
        <w:rPr>
          <w:sz w:val="22"/>
          <w:szCs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p>
    <w:p>
      <w:pPr>
        <w:pStyle w:val="Normal"/>
        <w:tabs>
          <w:tab w:val="clear" w:pos="720"/>
          <w:tab w:val="left" w:pos="1134" w:leader="none"/>
        </w:tabs>
        <w:spacing w:before="480" w:after="0"/>
        <w:rPr>
          <w:sz w:val="22"/>
          <w:szCs w:val="22"/>
        </w:rPr>
      </w:pPr>
      <w:r>
        <w:rPr>
          <w:b/>
          <w:bCs/>
          <w:sz w:val="22"/>
          <w:szCs w:val="22"/>
        </w:rPr>
        <w:t>Part 8.  Transactions Governed by FRABBA Terms.</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Header"/>
        <w:widowControl/>
        <w:jc w:val="both"/>
        <w:rPr/>
      </w:pPr>
      <w:r>
        <w:rPr/>
        <w:t xml:space="preserve">Any forward rate agreement into which the parties </w:t>
      </w:r>
      <w:r>
        <w:rPr>
          <w:i/>
          <w:iCs/>
        </w:rPr>
        <w:t>have entered</w:t>
      </w:r>
      <w:r>
        <w:rPr/>
        <w:t xml:space="preserve"> and in respect of which the confirmation or other confirming evidence refers to or incorporates the British Bankers' Association London Interbank Forward Rate Agreements Recommended Terms and Conditions (1985 edition) ("FRABBA Terms") will be governed by this Agreement.  Any forward rate agreement into which the parties </w:t>
      </w:r>
      <w:r>
        <w:rPr>
          <w:i/>
          <w:iCs/>
        </w:rPr>
        <w:t>may enter</w:t>
      </w:r>
      <w:r>
        <w:rPr/>
        <w:t xml:space="preserve"> and in respect of which the confirmation or other confirming evidence refers to or incorporates the FRABBA Terms will be governed by this Agreement in all circumstances except when the parties expressly agree otherwise.  Each such transaction will be deemed to be a Transaction and each such confirmation or other confirming evidence will be deemed to constitute a Confirmation for purposes of this Agreement.  Sections B, C and E and clauses, 1, 4, 5 and 6 of Section D of the FRABBA Terms are hereby incorporated by reference in this Agreement.  Those Sections are applicable only to transactions to which this provision relates and will prevail in the event of any inconsistency with any other provision of this Agreement.  In the event of any other inconsistency between the FRABBA Terms and this Agreement, this Agreement will govern.  Clauses 2, 3, 7, 8, 9 and 10 of Section D of the FRABBA Terms are not applicable to any transaction to which this provision relates.</w:t>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szCs w:val="22"/>
              </w:rPr>
            </w:pPr>
            <w:r>
              <w:rPr>
                <w:b/>
                <w:bCs/>
                <w:sz w:val="22"/>
                <w:szCs w:val="22"/>
              </w:rPr>
              <w:t>ENRON NORTH AMERICA CORP.</w:t>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FIRST UNION NATIONAL BANK</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spacing w:lineRule="exact" w:line="240"/>
        <w:jc w:val="both"/>
        <w:rPr>
          <w:sz w:val="22"/>
          <w:szCs w:val="22"/>
        </w:rPr>
      </w:pPr>
      <w:r>
        <w:rPr>
          <w:sz w:val="22"/>
          <w:szCs w:val="22"/>
        </w:rPr>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FIRST UNION NATIONAL BANK, a national banking association organized under the law of the United States of America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tabs>
          <w:tab w:val="clear" w:pos="720"/>
          <w:tab w:val="left" w:pos="1080" w:leader="none"/>
        </w:tabs>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(“Treasury Bills”)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Negotiable debt obligations issued by the U.S. Treasury Department having an original maturity at issuance of more than one year but not more than 10 years (“Treasury Notes”)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95%</w:t>
            </w:r>
          </w:p>
        </w:tc>
      </w:tr>
    </w:tbl>
    <w:p>
      <w:pPr>
        <w:pStyle w:val="Normal"/>
        <w:ind w:start="1440" w:end="0"/>
        <w:jc w:val="both"/>
        <w:rPr>
          <w:sz w:val="22"/>
          <w:szCs w:val="22"/>
        </w:rPr>
      </w:pPr>
      <w:r>
        <w:rPr>
          <w:sz w:val="22"/>
          <w:szCs w:val="22"/>
        </w:rPr>
      </w:r>
    </w:p>
    <w:p>
      <w:pPr>
        <w:pStyle w:val="Norma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 xml:space="preserve">                       </w:t>
            </w:r>
            <w:r>
              <w:rPr>
                <w:sz w:val="22"/>
                <w:szCs w:val="22"/>
              </w:rPr>
              <w:t xml:space="preserve">100% </w:t>
            </w:r>
          </w:p>
        </w:tc>
      </w:tr>
    </w:tbl>
    <w:p>
      <w:pPr>
        <w:pStyle w:val="Normal"/>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a party (a) the amount set forth opposite the lowest Credit Rating for the party (or in the case of Party A, Enron Corp.) on the relevant date of determination; or (b) zero if on the relevant date of determination (i) the entity referred to in clause (a) above does not have a Credit Rating from either S&amp;P or Moody's, or (ii) an Event of Default or Potential Event of Default with respect to such party has occurred and is continuing:</w:t>
      </w:r>
    </w:p>
    <w:p>
      <w:pPr>
        <w:pStyle w:val="Normal"/>
        <w:ind w:hanging="720" w:start="2160" w:end="0"/>
        <w:jc w:val="both"/>
        <w:rPr>
          <w:color w:val="000000"/>
          <w:sz w:val="22"/>
          <w:szCs w:val="22"/>
        </w:rPr>
      </w:pPr>
      <w:r>
        <w:rPr>
          <w:color w:val="000000"/>
          <w:sz w:val="22"/>
          <w:szCs w:val="22"/>
        </w:rPr>
      </w:r>
    </w:p>
    <w:p>
      <w:pPr>
        <w:pStyle w:val="Normal"/>
        <w:ind w:hanging="720" w:start="2160" w:end="0"/>
        <w:jc w:val="both"/>
        <w:rPr>
          <w:sz w:val="22"/>
          <w:szCs w:val="22"/>
        </w:rPr>
      </w:pPr>
      <w:r>
        <w:rPr>
          <w:sz w:val="22"/>
          <w:szCs w:val="22"/>
        </w:rPr>
      </w:r>
    </w:p>
    <w:tbl>
      <w:tblPr>
        <w:tblW w:w="5130" w:type="dxa"/>
        <w:jc w:val="start"/>
        <w:tblInd w:w="2088" w:type="dxa"/>
        <w:tblLayout w:type="fixed"/>
        <w:tblCellMar>
          <w:top w:w="0" w:type="dxa"/>
          <w:start w:w="108" w:type="dxa"/>
          <w:bottom w:w="0" w:type="dxa"/>
          <w:end w:w="108" w:type="dxa"/>
        </w:tblCellMar>
      </w:tblPr>
      <w:tblGrid>
        <w:gridCol w:w="2520"/>
        <w:gridCol w:w="2610"/>
      </w:tblGrid>
      <w:tr>
        <w:trPr/>
        <w:tc>
          <w:tcPr>
            <w:tcW w:w="2520" w:type="dxa"/>
            <w:tcBorders/>
          </w:tcPr>
          <w:p>
            <w:pPr>
              <w:pStyle w:val="Normal"/>
              <w:rPr>
                <w:sz w:val="22"/>
                <w:szCs w:val="22"/>
              </w:rPr>
            </w:pPr>
            <w:r>
              <w:rPr>
                <w:b/>
                <w:bCs/>
                <w:sz w:val="22"/>
                <w:szCs w:val="22"/>
                <w:u w:val="single"/>
              </w:rPr>
              <w:t>THRESHOLD</w:t>
            </w:r>
          </w:p>
        </w:tc>
        <w:tc>
          <w:tcPr>
            <w:tcW w:w="2610" w:type="dxa"/>
            <w:tcBorders/>
          </w:tcPr>
          <w:p>
            <w:pPr>
              <w:pStyle w:val="BodyTextIndent2"/>
              <w:ind w:hanging="0" w:end="0"/>
              <w:rPr>
                <w:b/>
                <w:bCs/>
                <w:u w:val="single"/>
              </w:rPr>
            </w:pPr>
            <w:r>
              <w:rPr>
                <w:b/>
                <w:bCs/>
                <w:u w:val="single"/>
              </w:rPr>
              <w:t>S&amp;P CREDIT RATING</w:t>
            </w:r>
          </w:p>
          <w:p>
            <w:pPr>
              <w:pStyle w:val="Normal"/>
              <w:ind w:start="-18" w:end="0"/>
              <w:rPr>
                <w:b/>
                <w:bCs/>
                <w:sz w:val="22"/>
                <w:szCs w:val="22"/>
                <w:u w:val="single"/>
              </w:rPr>
            </w:pPr>
            <w:r>
              <w:rPr>
                <w:b/>
                <w:bCs/>
                <w:sz w:val="22"/>
                <w:szCs w:val="22"/>
                <w:u w:val="single"/>
              </w:rPr>
            </w:r>
          </w:p>
        </w:tc>
      </w:tr>
      <w:tr>
        <w:trPr/>
        <w:tc>
          <w:tcPr>
            <w:tcW w:w="2520" w:type="dxa"/>
            <w:tcBorders/>
          </w:tcPr>
          <w:p>
            <w:pPr>
              <w:pStyle w:val="Normal"/>
              <w:rPr>
                <w:sz w:val="22"/>
                <w:szCs w:val="22"/>
              </w:rPr>
            </w:pPr>
            <w:r>
              <w:rPr>
                <w:sz w:val="22"/>
                <w:szCs w:val="22"/>
              </w:rPr>
              <w:t>U.S. $25,000,000</w:t>
            </w:r>
          </w:p>
        </w:tc>
        <w:tc>
          <w:tcPr>
            <w:tcW w:w="2610" w:type="dxa"/>
            <w:tcBorders/>
          </w:tcPr>
          <w:p>
            <w:pPr>
              <w:pStyle w:val="Normal"/>
              <w:ind w:start="-18" w:end="0"/>
              <w:rPr>
                <w:sz w:val="22"/>
                <w:szCs w:val="22"/>
              </w:rPr>
            </w:pPr>
            <w:r>
              <w:rPr>
                <w:sz w:val="22"/>
                <w:szCs w:val="22"/>
              </w:rPr>
              <w:t>AAA</w:t>
            </w:r>
          </w:p>
        </w:tc>
      </w:tr>
      <w:tr>
        <w:trPr/>
        <w:tc>
          <w:tcPr>
            <w:tcW w:w="2520" w:type="dxa"/>
            <w:tcBorders/>
          </w:tcPr>
          <w:p>
            <w:pPr>
              <w:pStyle w:val="Normal"/>
              <w:rPr>
                <w:sz w:val="22"/>
                <w:szCs w:val="22"/>
              </w:rPr>
            </w:pPr>
            <w:r>
              <w:rPr>
                <w:sz w:val="22"/>
                <w:szCs w:val="22"/>
              </w:rPr>
              <w:t>U.S. $20,000,000</w:t>
            </w:r>
          </w:p>
        </w:tc>
        <w:tc>
          <w:tcPr>
            <w:tcW w:w="2610" w:type="dxa"/>
            <w:tcBorders/>
          </w:tcPr>
          <w:p>
            <w:pPr>
              <w:pStyle w:val="Normal"/>
              <w:ind w:start="-18" w:end="0"/>
              <w:rPr>
                <w:sz w:val="22"/>
                <w:szCs w:val="22"/>
              </w:rPr>
            </w:pPr>
            <w:r>
              <w:rPr>
                <w:sz w:val="22"/>
                <w:szCs w:val="22"/>
              </w:rPr>
              <w:t xml:space="preserve">A to AA+ </w:t>
            </w:r>
          </w:p>
        </w:tc>
      </w:tr>
      <w:tr>
        <w:trPr/>
        <w:tc>
          <w:tcPr>
            <w:tcW w:w="2520" w:type="dxa"/>
            <w:tcBorders/>
          </w:tcPr>
          <w:p>
            <w:pPr>
              <w:pStyle w:val="Normal"/>
              <w:rPr>
                <w:sz w:val="22"/>
                <w:szCs w:val="22"/>
              </w:rPr>
            </w:pPr>
            <w:r>
              <w:rPr>
                <w:sz w:val="22"/>
                <w:szCs w:val="22"/>
              </w:rPr>
              <w:t>U.S. $15,000,000</w:t>
            </w:r>
          </w:p>
        </w:tc>
        <w:tc>
          <w:tcPr>
            <w:tcW w:w="2610" w:type="dxa"/>
            <w:tcBorders/>
          </w:tcPr>
          <w:p>
            <w:pPr>
              <w:pStyle w:val="Normal"/>
              <w:ind w:start="-18" w:end="0"/>
              <w:rPr>
                <w:sz w:val="22"/>
                <w:szCs w:val="22"/>
              </w:rPr>
            </w:pPr>
            <w:r>
              <w:rPr>
                <w:sz w:val="22"/>
                <w:szCs w:val="22"/>
              </w:rPr>
              <w:t xml:space="preserve">BBB+ and A- </w:t>
            </w:r>
          </w:p>
        </w:tc>
      </w:tr>
      <w:tr>
        <w:trPr/>
        <w:tc>
          <w:tcPr>
            <w:tcW w:w="2520" w:type="dxa"/>
            <w:tcBorders/>
          </w:tcPr>
          <w:p>
            <w:pPr>
              <w:pStyle w:val="Normal"/>
              <w:rPr>
                <w:sz w:val="22"/>
                <w:szCs w:val="22"/>
              </w:rPr>
            </w:pPr>
            <w:r>
              <w:rPr>
                <w:sz w:val="22"/>
                <w:szCs w:val="22"/>
              </w:rPr>
              <w:t>U.S. $10,000,000</w:t>
            </w:r>
          </w:p>
        </w:tc>
        <w:tc>
          <w:tcPr>
            <w:tcW w:w="2610" w:type="dxa"/>
            <w:tcBorders/>
          </w:tcPr>
          <w:p>
            <w:pPr>
              <w:pStyle w:val="Normal"/>
              <w:ind w:start="-18" w:end="0"/>
              <w:rPr>
                <w:sz w:val="22"/>
                <w:szCs w:val="22"/>
              </w:rPr>
            </w:pPr>
            <w:r>
              <w:rPr>
                <w:sz w:val="22"/>
                <w:szCs w:val="22"/>
              </w:rPr>
              <w:t>BBB</w:t>
            </w:r>
          </w:p>
        </w:tc>
      </w:tr>
      <w:tr>
        <w:trPr/>
        <w:tc>
          <w:tcPr>
            <w:tcW w:w="2520" w:type="dxa"/>
            <w:tcBorders/>
          </w:tcPr>
          <w:p>
            <w:pPr>
              <w:pStyle w:val="Normal"/>
              <w:rPr>
                <w:sz w:val="22"/>
                <w:szCs w:val="22"/>
              </w:rPr>
            </w:pPr>
            <w:r>
              <w:rPr>
                <w:sz w:val="22"/>
                <w:szCs w:val="22"/>
              </w:rPr>
              <w:t>U.S. $5,000,000</w:t>
            </w:r>
          </w:p>
        </w:tc>
        <w:tc>
          <w:tcPr>
            <w:tcW w:w="2610" w:type="dxa"/>
            <w:tcBorders/>
          </w:tcPr>
          <w:p>
            <w:pPr>
              <w:pStyle w:val="Normal"/>
              <w:ind w:start="-18" w:end="0"/>
              <w:rPr>
                <w:sz w:val="22"/>
                <w:szCs w:val="22"/>
              </w:rPr>
            </w:pPr>
            <w:r>
              <w:rPr>
                <w:sz w:val="22"/>
                <w:szCs w:val="22"/>
              </w:rPr>
              <w:t>BBB-</w:t>
            </w:r>
          </w:p>
        </w:tc>
      </w:tr>
      <w:tr>
        <w:trPr/>
        <w:tc>
          <w:tcPr>
            <w:tcW w:w="2520" w:type="dxa"/>
            <w:tcBorders/>
          </w:tcPr>
          <w:p>
            <w:pPr>
              <w:pStyle w:val="Normal"/>
              <w:rPr>
                <w:sz w:val="22"/>
                <w:szCs w:val="22"/>
              </w:rPr>
            </w:pPr>
            <w:r>
              <w:rPr>
                <w:sz w:val="22"/>
                <w:szCs w:val="22"/>
              </w:rPr>
              <w:t>U.S. $ 0</w:t>
            </w:r>
          </w:p>
        </w:tc>
        <w:tc>
          <w:tcPr>
            <w:tcW w:w="2610" w:type="dxa"/>
            <w:tcBorders/>
          </w:tcPr>
          <w:p>
            <w:pPr>
              <w:pStyle w:val="Normal"/>
              <w:ind w:start="-18" w:end="0"/>
              <w:rPr>
                <w:sz w:val="22"/>
                <w:szCs w:val="22"/>
              </w:rPr>
            </w:pPr>
            <w:r>
              <w:rPr>
                <w:sz w:val="22"/>
                <w:szCs w:val="22"/>
              </w:rPr>
              <w:t>Below BBB-</w:t>
            </w:r>
          </w:p>
        </w:tc>
      </w:tr>
    </w:tbl>
    <w:p>
      <w:pPr>
        <w:pStyle w:val="Normal"/>
        <w:ind w:hanging="720" w:start="216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$250,000.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$250,000.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$10,000 </w:t>
      </w:r>
      <w:r>
        <w:rPr>
          <w:sz w:val="22"/>
          <w:szCs w:val="22"/>
        </w:rPr>
        <w:t xml:space="preserve">and the Return Amount will be rounded down to the nearest integral multiple of U.S. </w:t>
      </w:r>
      <w:r>
        <w:rPr>
          <w:color w:val="000000"/>
          <w:sz w:val="22"/>
          <w:szCs w:val="22"/>
        </w:rPr>
        <w:t>$10,000.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keepNext w:val="true"/>
        <w:ind w:start="720" w:end="0"/>
        <w:jc w:val="both"/>
        <w:rPr/>
      </w:pPr>
      <w:r>
        <w:rPr>
          <w:sz w:val="22"/>
          <w:szCs w:val="22"/>
        </w:rPr>
        <w:t xml:space="preserve">(iii)  </w:t>
      </w:r>
      <w:r>
        <w:rPr>
          <w:b/>
          <w:bCs/>
          <w:sz w:val="22"/>
          <w:szCs w:val="22"/>
        </w:rPr>
        <w:t>“Valuation Time”</w:t>
      </w:r>
      <w:r>
        <w:rPr>
          <w:sz w:val="22"/>
          <w:szCs w:val="22"/>
        </w:rPr>
        <w:t xml:space="preserve"> means:</w:t>
      </w:r>
    </w:p>
    <w:p>
      <w:pPr>
        <w:pStyle w:val="Normal"/>
        <w:keepNext w:val="true"/>
        <w:ind w:hanging="720" w:start="1440" w:end="0"/>
        <w:jc w:val="both"/>
        <w:rPr>
          <w:sz w:val="22"/>
          <w:szCs w:val="22"/>
        </w:rPr>
      </w:pPr>
      <w:r>
        <w:rPr>
          <w:sz w:val="22"/>
          <w:szCs w:val="22"/>
        </w:rPr>
      </w:r>
    </w:p>
    <w:p>
      <w:pPr>
        <w:pStyle w:val="Normal"/>
        <w:keepNext w:val="true"/>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keepNext w:val="true"/>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11:00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Party A’s Credit Support Provider has a Credit Rating from S&amp;P or Moody’s and the lowest Credit Rating for Party A’s Credit Support Provider is “BBB-” or higher by S&amp;P or Baa3 or higher by Moody’s.</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pPr>
      <w:r>
        <w:rPr>
          <w:sz w:val="22"/>
          <w:szCs w:val="22"/>
        </w:rPr>
        <w:t>(1) Party B is not a Defaulting Party and it has a Credit Rating</w:t>
      </w:r>
      <w:r>
        <w:rPr>
          <w:color w:val="000000"/>
          <w:sz w:val="22"/>
          <w:szCs w:val="22"/>
        </w:rPr>
        <w:t xml:space="preserve"> from S&amp;P or Moody’s</w:t>
      </w:r>
      <w:r>
        <w:rPr>
          <w:sz w:val="22"/>
          <w:szCs w:val="22"/>
        </w:rPr>
        <w:t xml:space="preserve"> and the lowest Credit Rating for it is “BBB-” or higher by S&amp;P or Baa3 or higher by Moody’s.</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ind w:hanging="0" w:end="0"/>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and its Custodian, if any, remain a Downgraded Party and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Normal"/>
        <w:jc w:val="both"/>
        <w:rPr>
          <w:sz w:val="22"/>
          <w:szCs w:val="22"/>
        </w:rPr>
      </w:pPr>
      <w:r>
        <w:rPr>
          <w:sz w:val="22"/>
          <w:szCs w:val="22"/>
        </w:rPr>
      </w:r>
    </w:p>
    <w:p>
      <w:pPr>
        <w:pStyle w:val="Normal"/>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(j)</w:t>
        <w:tab/>
      </w:r>
      <w:r>
        <w:rPr>
          <w:b/>
          <w:bCs/>
          <w:sz w:val="22"/>
          <w:szCs w:val="22"/>
        </w:rPr>
        <w:t>Other Eligible Support and Other Posted Support.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If such ratings are assigned by both S&amp;P and Moody’s, then its Credit Rating will be the lower of such ratings.   </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w:t>
      </w:r>
      <w:r>
        <w:rPr>
          <w:color w:val="FF0000"/>
          <w:sz w:val="22"/>
          <w:szCs w:val="22"/>
        </w:rPr>
        <w:t xml:space="preserve"> or Baa3 by Moody’s </w:t>
      </w:r>
      <w:r>
        <w:rPr>
          <w:sz w:val="22"/>
          <w:szCs w:val="22"/>
        </w:rPr>
        <w:t>or its Credit Support Provider fails to have a Credit Rating from S&amp;P or Moody’s; or (b) with respect to Party B, its Credit Rating is below “BBB-” by S&amp;P or Baa3 by Moody’s or it fails to have a Credit Rating from S&amp;P or Moody’s.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pStyle w:val="Normal"/>
        <w:ind w:hanging="720" w:start="720" w:end="0"/>
        <w:jc w:val="both"/>
        <w:rPr>
          <w:sz w:val="22"/>
          <w:szCs w:val="22"/>
        </w:rPr>
      </w:pPr>
      <w:r>
        <w:rPr>
          <w:sz w:val="22"/>
          <w:szCs w:val="22"/>
        </w:rPr>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(g)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jc w:val="center"/>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fmt="decimal"/>
          <w:formProt w:val="false"/>
          <w:textDirection w:val="lrTb"/>
          <w:docGrid w:type="default" w:linePitch="360" w:charSpace="0"/>
        </w:sectPr>
        <w:pStyle w:val="Normal"/>
        <w:keepLines/>
        <w:spacing w:lineRule="exact" w:line="240"/>
        <w:jc w:val="center"/>
        <w:rPr>
          <w:sz w:val="22"/>
          <w:szCs w:val="22"/>
        </w:rPr>
      </w:pPr>
      <w:r>
        <w:rPr>
          <w:sz w:val="22"/>
          <w:szCs w:val="22"/>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r>
      <w:r>
        <w:rPr>
          <w:sz w:val="22"/>
          <w:szCs w:val="22"/>
        </w:rPr>
        <w:t xml:space="preserve">, 2001,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FIRST UNION NATIONAL BANK, a national banking association organized under the laws of The United States of America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or, tort damages.</w:t>
      </w:r>
    </w:p>
    <w:p>
      <w:pPr>
        <w:pStyle w:val="BodyTextIndent3"/>
        <w:spacing w:before="240" w:after="0"/>
        <w:rPr/>
      </w:pPr>
      <w:r>
        <w:rPr/>
        <w:t>(b)  The aggregate amount covered by this Guaranty shall not exceed U.S. $30,000,000.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three (3)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First Union National Bank</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301 South College Street</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Charlotte, North Carolina 28288-0600</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rPr>
              <w:t>Attn.:  Bruce Young</w:t>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Fax No.:  (704) 383-0575</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2000,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keepNext w:val="true"/>
        <w:jc w:val="center"/>
        <w:rPr>
          <w:sz w:val="22"/>
          <w:szCs w:val="22"/>
        </w:rPr>
      </w:pPr>
      <w:r>
        <w:rPr>
          <w:sz w:val="22"/>
          <w:szCs w:val="22"/>
        </w:rPr>
      </w:r>
    </w:p>
    <w:sectPr>
      <w:headerReference w:type="default" r:id="rId12"/>
      <w:headerReference w:type="first" r:id="rId13"/>
      <w:footerReference w:type="default" r:id="rId14"/>
      <w:footerReference w:type="first" r:id="rId15"/>
      <w:type w:val="nextPage"/>
      <w:pgSz w:w="12240" w:h="15840"/>
      <w:pgMar w:left="1440" w:right="1440" w:gutter="0" w:header="720" w:top="108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O:\Legal\Sbailey\Ctr\163actr(ena-firstunion).doc</w:t>
    </w:r>
  </w:p>
  <w:p>
    <w:pPr>
      <w:pStyle w:val="Normal"/>
      <w:jc w:val="center"/>
      <w:rPr/>
    </w:pPr>
    <w:r>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12</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O:\Legal\Sbailey\Ctr\163actr(ena-firstunion).doc</w:t>
    </w:r>
  </w:p>
  <w:p>
    <w:pPr>
      <w:pStyle w:val="Footer"/>
      <w:rPr>
        <w:sz w:val="16"/>
        <w:szCs w:val="16"/>
      </w:rPr>
    </w:pPr>
    <w:r>
      <w:rPr>
        <w:sz w:val="16"/>
        <w:szCs w:val="16"/>
      </w:rPr>
    </w:r>
  </w:p>
  <w:p>
    <w:pPr>
      <w:pStyle w:val="Footer"/>
      <w:jc w:val="center"/>
      <w:rPr>
        <w:sz w:val="20"/>
      </w:rPr>
    </w:pPr>
    <w:r>
      <w:rPr>
        <w:sz w:val="20"/>
      </w:rPr>
      <w:t>Annex A</w:t>
    </w:r>
  </w:p>
  <w:p>
    <w:pPr>
      <w:pStyle w:val="Footer"/>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O:\Legal\Sbailey\Ctr\163actr(ena-firstunion).doc</w:t>
    </w:r>
  </w:p>
  <w:p>
    <w:pPr>
      <w:pStyle w:val="Normal"/>
      <w:rPr>
        <w:sz w:val="16"/>
      </w:rPr>
    </w:pPr>
    <w:r>
      <w:rPr>
        <w:sz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O:\Legal\Sbailey\Ctr\163actr(ena-firstunion).doc</w:t>
    </w:r>
  </w:p>
  <w:p>
    <w:pPr>
      <w:pStyle w:val="Footer"/>
      <w:rPr>
        <w:sz w:val="16"/>
        <w:szCs w:val="16"/>
      </w:rPr>
    </w:pPr>
    <w:r>
      <w:rPr>
        <w:sz w:val="16"/>
        <w:szCs w:val="16"/>
      </w:rPr>
    </w:r>
  </w:p>
  <w:p>
    <w:pPr>
      <w:pStyle w:val="Footer"/>
      <w:jc w:val="center"/>
      <w:rPr>
        <w:sz w:val="20"/>
        <w:szCs w:val="16"/>
      </w:rPr>
    </w:pPr>
    <w:r>
      <w:rPr>
        <w:sz w:val="20"/>
        <w:szCs w:val="16"/>
      </w:rPr>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O:\Legal\Sbailey\Ctr\163actr(ena-firstunion).doc</w:t>
    </w:r>
  </w:p>
  <w:p>
    <w:pPr>
      <w:pStyle w:val="Footer"/>
      <w:jc w:val="center"/>
      <w:rPr>
        <w:sz w:val="20"/>
        <w:szCs w:val="16"/>
      </w:rPr>
    </w:pPr>
    <w:r>
      <w:rPr>
        <w:sz w:val="20"/>
        <w:szCs w:val="16"/>
      </w:rPr>
      <w:t>Exhibit A</w:t>
    </w:r>
  </w:p>
  <w:p>
    <w:pPr>
      <w:pStyle w:val="Footer"/>
      <w:jc w:val="center"/>
      <w:rPr>
        <w:sz w:val="20"/>
        <w:szCs w:val="16"/>
      </w:rPr>
    </w:pPr>
    <w:r>
      <w:rPr>
        <w:sz w:val="20"/>
        <w:szCs w:val="16"/>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p>
    <w:pPr>
      <w:pStyle w:val="Footer"/>
      <w:jc w:val="center"/>
      <w:rPr>
        <w:sz w:val="20"/>
        <w:szCs w:val="16"/>
      </w:rPr>
    </w:pPr>
    <w:r>
      <w:rPr>
        <w:sz w:val="20"/>
        <w:szCs w:val="16"/>
      </w:rPr>
    </w:r>
  </w:p>
  <w:p>
    <w:pPr>
      <w:pStyle w:val="Footer"/>
      <w:rPr>
        <w:sz w:val="8"/>
        <w:szCs w:val="8"/>
      </w:rPr>
    </w:pPr>
    <w:r>
      <w:rPr>
        <w:sz w:val="8"/>
        <w:szCs w:val="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2001-03-20T14:50:00Z</dcterms:created>
  <dc:creator>mheard</dc:creator>
  <dc:description/>
  <dc:language>en-CA</dc:language>
  <cp:lastModifiedBy>sbaile2</cp:lastModifiedBy>
  <cp:lastPrinted>2001-02-16T16:52:00Z</cp:lastPrinted>
  <dcterms:modified xsi:type="dcterms:W3CDTF">2001-03-20T14:51:00Z</dcterms:modified>
  <cp:revision>3</cp:revision>
  <dc:subject/>
  <dc:title>ISDA Multicurrency Agreement</dc:title>
</cp:coreProperties>
</file>