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-632460</wp:posOffset>
                </wp:positionV>
                <wp:extent cx="5943600" cy="1554480"/>
                <wp:effectExtent l="0" t="0" r="0" b="0"/>
                <wp:wrapNone/>
                <wp:docPr id="1" name="Frame1"/>
                <a:graphic xmlns:a="http://schemas.openxmlformats.org/drawingml/2006/main">
                  <a:graphicData uri="http://schemas.microsoft.com/office/word/2010/wordprocessingShape">
                    <wps:wsp>
                      <wps:cNvSpPr txBox="1"/>
                      <wps:spPr>
                        <a:xfrm>
                          <a:off x="0" y="0"/>
                          <a:ext cx="5943600" cy="1554480"/>
                        </a:xfrm>
                        <a:prstGeom prst="rect"/>
                        <a:solidFill>
                          <a:srgbClr val="FFFFFF"/>
                        </a:solidFill>
                      </wps:spPr>
                      <wps:txbx>
                        <w:txbxContent>
                          <w:p>
                            <w:pPr>
                              <w:pStyle w:val="Heading"/>
                              <w:rPr/>
                            </w:pPr>
                            <w:r>
                              <w:rPr/>
                              <w:t>LeBoeuf, Lamb, Greene &amp; MacRae</w:t>
                            </w:r>
                          </w:p>
                          <w:p>
                            <w:pPr>
                              <w:pStyle w:val="Normal"/>
                              <w:jc w:val="center"/>
                              <w:rPr>
                                <w:rFonts w:ascii="Univers" w:hAnsi="Univers" w:cs="Univers"/>
                                <w:smallCaps/>
                                <w:sz w:val="12"/>
                              </w:rPr>
                            </w:pPr>
                            <w:r>
                              <w:rPr>
                                <w:rFonts w:cs="Univers" w:ascii="Univers" w:hAnsi="Univers"/>
                                <w:smallCaps/>
                                <w:sz w:val="32"/>
                              </w:rPr>
                              <w:t>l.l.p.</w:t>
                            </w:r>
                          </w:p>
                          <w:p>
                            <w:pPr>
                              <w:pStyle w:val="Normal"/>
                              <w:jc w:val="center"/>
                              <w:rPr>
                                <w:rFonts w:ascii="Univers" w:hAnsi="Univers" w:cs="Univers"/>
                                <w:smallCaps/>
                                <w:sz w:val="20"/>
                              </w:rPr>
                            </w:pPr>
                            <w:r>
                              <w:rPr>
                                <w:rFonts w:cs="Univers" w:ascii="Univers" w:hAnsi="Univers"/>
                                <w:smallCaps/>
                                <w:sz w:val="12"/>
                              </w:rPr>
                              <w:t>A LIMITED LIABILITY PARTNERSHIP INCLUDING PROFESSIONAL CORPORATIONS</w:t>
                            </w:r>
                          </w:p>
                          <w:p>
                            <w:pPr>
                              <w:pStyle w:val="Normal"/>
                              <w:jc w:val="center"/>
                              <w:rPr>
                                <w:rFonts w:ascii="Univers" w:hAnsi="Univers" w:cs="Univers"/>
                                <w:smallCaps/>
                                <w:sz w:val="20"/>
                              </w:rPr>
                            </w:pPr>
                            <w:r>
                              <w:rPr>
                                <w:rFonts w:cs="Univers" w:ascii="Univers" w:hAnsi="Univers"/>
                                <w:smallCaps/>
                                <w:sz w:val="20"/>
                              </w:rPr>
                            </w:r>
                          </w:p>
                          <w:p>
                            <w:pPr>
                              <w:pStyle w:val="Normal"/>
                              <w:spacing w:before="0" w:after="100"/>
                              <w:jc w:val="center"/>
                              <w:rPr>
                                <w:rFonts w:ascii="Univers" w:hAnsi="Univers" w:cs="Univers"/>
                                <w:smallCaps/>
                                <w:sz w:val="20"/>
                              </w:rPr>
                            </w:pPr>
                            <w:r>
                              <w:rPr>
                                <w:rFonts w:cs="Univers" w:ascii="Univers" w:hAnsi="Univers"/>
                                <w:smallCaps/>
                                <w:sz w:val="20"/>
                              </w:rPr>
                              <w:t>125 West 55th Street</w:t>
                            </w:r>
                          </w:p>
                          <w:p>
                            <w:pPr>
                              <w:pStyle w:val="Normal"/>
                              <w:jc w:val="center"/>
                              <w:rPr>
                                <w:rFonts w:ascii="Univers" w:hAnsi="Univers" w:cs="Univers"/>
                                <w:smallCaps/>
                                <w:sz w:val="20"/>
                              </w:rPr>
                            </w:pPr>
                            <w:r>
                              <w:rPr>
                                <w:rFonts w:cs="Univers" w:ascii="Univers" w:hAnsi="Univers"/>
                                <w:smallCaps/>
                                <w:sz w:val="20"/>
                              </w:rPr>
                              <w:t>New York, NY  10019-5389</w:t>
                            </w:r>
                          </w:p>
                        </w:txbxContent>
                      </wps:txbx>
                      <wps:bodyPr anchor="t" lIns="92075" tIns="46355" rIns="92075" bIns="46355">
                        <a:noAutofit/>
                      </wps:bodyPr>
                    </wps:wsp>
                  </a:graphicData>
                </a:graphic>
              </wp:anchor>
            </w:drawing>
          </mc:Choice>
          <mc:Fallback>
            <w:pict>
              <v:rect fillcolor="#FFFFFF" style="position:absolute;rotation:-0;width:468pt;height:122.4pt;mso-wrap-distance-left:9.05pt;mso-wrap-distance-right:9.05pt;mso-wrap-distance-top:0pt;mso-wrap-distance-bottom:0pt;margin-top:-49.8pt;mso-position-vertical-relative:text;margin-left:0pt;mso-position-horizontal-relative:text">
                <v:textbox inset="0.100694444444444in,0.0506944444444444in,0.100694444444444in,0.0506944444444444in">
                  <w:txbxContent>
                    <w:p>
                      <w:pPr>
                        <w:pStyle w:val="Heading"/>
                        <w:rPr/>
                      </w:pPr>
                      <w:r>
                        <w:rPr/>
                        <w:t>LeBoeuf, Lamb, Greene &amp; MacRae</w:t>
                      </w:r>
                    </w:p>
                    <w:p>
                      <w:pPr>
                        <w:pStyle w:val="Normal"/>
                        <w:jc w:val="center"/>
                        <w:rPr>
                          <w:rFonts w:ascii="Univers" w:hAnsi="Univers" w:cs="Univers"/>
                          <w:smallCaps/>
                          <w:sz w:val="12"/>
                        </w:rPr>
                      </w:pPr>
                      <w:r>
                        <w:rPr>
                          <w:rFonts w:cs="Univers" w:ascii="Univers" w:hAnsi="Univers"/>
                          <w:smallCaps/>
                          <w:sz w:val="32"/>
                        </w:rPr>
                        <w:t>l.l.p.</w:t>
                      </w:r>
                    </w:p>
                    <w:p>
                      <w:pPr>
                        <w:pStyle w:val="Normal"/>
                        <w:jc w:val="center"/>
                        <w:rPr>
                          <w:rFonts w:ascii="Univers" w:hAnsi="Univers" w:cs="Univers"/>
                          <w:smallCaps/>
                          <w:sz w:val="20"/>
                        </w:rPr>
                      </w:pPr>
                      <w:r>
                        <w:rPr>
                          <w:rFonts w:cs="Univers" w:ascii="Univers" w:hAnsi="Univers"/>
                          <w:smallCaps/>
                          <w:sz w:val="12"/>
                        </w:rPr>
                        <w:t>A LIMITED LIABILITY PARTNERSHIP INCLUDING PROFESSIONAL CORPORATIONS</w:t>
                      </w:r>
                    </w:p>
                    <w:p>
                      <w:pPr>
                        <w:pStyle w:val="Normal"/>
                        <w:jc w:val="center"/>
                        <w:rPr>
                          <w:rFonts w:ascii="Univers" w:hAnsi="Univers" w:cs="Univers"/>
                          <w:smallCaps/>
                          <w:sz w:val="20"/>
                        </w:rPr>
                      </w:pPr>
                      <w:r>
                        <w:rPr>
                          <w:rFonts w:cs="Univers" w:ascii="Univers" w:hAnsi="Univers"/>
                          <w:smallCaps/>
                          <w:sz w:val="20"/>
                        </w:rPr>
                      </w:r>
                    </w:p>
                    <w:p>
                      <w:pPr>
                        <w:pStyle w:val="Normal"/>
                        <w:spacing w:before="0" w:after="100"/>
                        <w:jc w:val="center"/>
                        <w:rPr>
                          <w:rFonts w:ascii="Univers" w:hAnsi="Univers" w:cs="Univers"/>
                          <w:smallCaps/>
                          <w:sz w:val="20"/>
                        </w:rPr>
                      </w:pPr>
                      <w:r>
                        <w:rPr>
                          <w:rFonts w:cs="Univers" w:ascii="Univers" w:hAnsi="Univers"/>
                          <w:smallCaps/>
                          <w:sz w:val="20"/>
                        </w:rPr>
                        <w:t>125 West 55th Street</w:t>
                      </w:r>
                    </w:p>
                    <w:p>
                      <w:pPr>
                        <w:pStyle w:val="Normal"/>
                        <w:jc w:val="center"/>
                        <w:rPr>
                          <w:rFonts w:ascii="Univers" w:hAnsi="Univers" w:cs="Univers"/>
                          <w:smallCaps/>
                          <w:sz w:val="20"/>
                        </w:rPr>
                      </w:pPr>
                      <w:r>
                        <w:rPr>
                          <w:rFonts w:cs="Univers" w:ascii="Univers" w:hAnsi="Univers"/>
                          <w:smallCaps/>
                          <w:sz w:val="20"/>
                        </w:rPr>
                        <w:t>New York, NY  10019-5389</w:t>
                      </w:r>
                    </w:p>
                  </w:txbxContent>
                </v:textbox>
                <w10:wrap type="none"/>
              </v:rect>
            </w:pict>
          </mc:Fallback>
        </mc:AlternateContent>
      </w:r>
    </w:p>
    <w:p>
      <w:pPr>
        <w:pStyle w:val="Normal"/>
        <w:jc w:val="center"/>
        <w:rPr>
          <w:lang w:val="en-CA"/>
        </w:rPr>
      </w:pPr>
      <w:r>
        <w:rPr>
          <w:lang w:val="en-CA"/>
        </w:rPr>
        <w:t>February 26, 2001</w:t>
      </w:r>
    </w:p>
    <w:p>
      <w:pPr>
        <w:pStyle w:val="Normal"/>
        <w:jc w:val="center"/>
        <w:rPr>
          <w:lang w:val="en-CA"/>
        </w:rPr>
      </w:pPr>
      <w:r>
        <w:rPr>
          <w:lang w:val="en-CA"/>
        </w:rPr>
      </w:r>
    </w:p>
    <w:p>
      <w:pPr>
        <w:pStyle w:val="Normal"/>
        <w:jc w:val="center"/>
        <w:rPr>
          <w:b/>
          <w:lang w:val="en-CA"/>
        </w:rPr>
      </w:pPr>
      <w:r>
        <w:rPr>
          <w:b/>
          <w:lang w:val="en-CA"/>
        </w:rPr>
        <w:t>PRIVILEGED &amp; CONFIDENTIAL</w:t>
      </w:r>
    </w:p>
    <w:p>
      <w:pPr>
        <w:pStyle w:val="Heading1"/>
        <w:ind w:hanging="0" w:start="0"/>
        <w:rPr/>
      </w:pPr>
      <w:r>
        <w:rPr/>
        <w:t>ATTORNEY-CLIENT COMMUNICATION</w:t>
      </w:r>
    </w:p>
    <w:p>
      <w:pPr>
        <w:pStyle w:val="Normal"/>
        <w:jc w:val="center"/>
        <w:rPr>
          <w:lang w:val="en-CA"/>
        </w:rPr>
      </w:pPr>
      <w:r>
        <w:rPr>
          <w:b/>
          <w:lang w:val="en-CA"/>
        </w:rPr>
        <w:t>ATTORNEY WORK PRODUCT</w:t>
      </w:r>
    </w:p>
    <w:p>
      <w:pPr>
        <w:pStyle w:val="TopHeading"/>
        <w:rPr/>
      </w:pPr>
      <w:r>
        <w:rPr>
          <w:rStyle w:val="MemoHeading"/>
        </w:rPr>
        <w:t>TO:</w:t>
      </w:r>
      <w:r>
        <w:rPr/>
        <w:tab/>
        <w:t>Mike Smith, Travis McCullough and Eric Newell</w:t>
      </w:r>
    </w:p>
    <w:p>
      <w:pPr>
        <w:pStyle w:val="TopHeading"/>
        <w:rPr/>
      </w:pPr>
      <w:r>
        <w:rPr>
          <w:rStyle w:val="MemoHeading"/>
        </w:rPr>
        <w:t>FROM:</w:t>
      </w:r>
      <w:r>
        <w:rPr/>
        <w:tab/>
        <w:t>LeBoeuf, Lamb, Greene &amp; MacRae, L.L.P.</w:t>
      </w:r>
    </w:p>
    <w:p>
      <w:pPr>
        <w:pStyle w:val="RE"/>
        <w:rPr/>
      </w:pPr>
      <w:r>
        <w:rPr>
          <w:rStyle w:val="MemoHeading"/>
        </w:rPr>
        <w:t>RE:</w:t>
      </w:r>
      <w:r>
        <w:rPr/>
        <w:tab/>
      </w:r>
      <w:r>
        <w:rPr>
          <w:u w:val="single"/>
        </w:rPr>
        <w:t>Issues Presented by Involuntary Bankruptcy Filing by Enron Wind Entities Against Southern California Edison</w:t>
      </w:r>
    </w:p>
    <w:p>
      <w:pPr>
        <w:pStyle w:val="BodyTextIndent"/>
        <w:rPr/>
      </w:pPr>
      <w:r>
        <w:rPr/>
        <w:t>We have been asked to provide an analysis of the major issues potentially arising from a possible filing by Enron Wind Corp., acting through various entities that either it owns in their entirety, or which it operates as general or managing partner (collectively “Enron Wind”), of an involuntary bankruptcy petition against Southern California Edison Company (“SCE”).  We have been informed by Enron Wind that SCE has not paid Enron Wind for power delivered since November 1, 2000.  At present SCE has failed to pay amounts due and owing under the various contracts between Enron Wind and SCE for December 30, 2000 and January 30, 2001.  It is anticipated that SCE will shortly default on payments due February 28, 2001.  Enron Wind has requested adequate assurance of performance in the form of a deposit or letter of credit.  SCE has not responded to this request.</w:t>
      </w:r>
    </w:p>
    <w:p>
      <w:pPr>
        <w:pStyle w:val="BodyTextIndent"/>
        <w:ind w:hanging="0" w:end="0"/>
        <w:jc w:val="center"/>
        <w:rPr/>
      </w:pPr>
      <w:r>
        <w:rPr>
          <w:b/>
        </w:rPr>
        <w:t>A.</w:t>
        <w:tab/>
      </w:r>
      <w:r>
        <w:rPr>
          <w:b/>
          <w:u w:val="single"/>
        </w:rPr>
        <w:t>Executive Summary</w:t>
      </w:r>
    </w:p>
    <w:p>
      <w:pPr>
        <w:pStyle w:val="Normal"/>
        <w:numPr>
          <w:ilvl w:val="0"/>
          <w:numId w:val="18"/>
        </w:numPr>
        <w:tabs>
          <w:tab w:val="left" w:pos="720" w:leader="none"/>
          <w:tab w:val="left" w:pos="1440" w:leader="none"/>
        </w:tabs>
        <w:rPr/>
      </w:pPr>
      <w:r>
        <w:rPr/>
        <w:t>Notwithstanding that is possible that three or more Enron Wind entities could technically prevail on an involuntary petition filed against SCE, we believe, based on our experience in filing involuntary petitions in other large cases, that Enron Wind should file an involuntary petition only if a group of five or six creditors (which includes non-Enron affiliated entities, and if possible, a combination of QF and non-QF creditors) join in the filing.</w:t>
      </w:r>
    </w:p>
    <w:p>
      <w:pPr>
        <w:pStyle w:val="Normal"/>
        <w:rPr/>
      </w:pPr>
      <w:r>
        <w:rPr/>
      </w:r>
    </w:p>
    <w:p>
      <w:pPr>
        <w:pStyle w:val="Normal"/>
        <w:numPr>
          <w:ilvl w:val="0"/>
          <w:numId w:val="2"/>
        </w:numPr>
        <w:tabs>
          <w:tab w:val="left" w:pos="720" w:leader="none"/>
          <w:tab w:val="left" w:pos="1440" w:leader="none"/>
        </w:tabs>
        <w:rPr/>
      </w:pPr>
      <w:r>
        <w:rPr/>
        <w:t>Because of the intense negotiations and efforts presently being conducted outside the bankruptcy process by the Governor, the legislature, the utilities and certain creditor groups (such as the generators), and because of the highly political nature of the situation, we believe it is likely that a bankruptcy court might exercise its discretion to abstain from granting an involuntary petition that had otherwise been established as legally well-founded, at least at the present time.</w:t>
      </w:r>
    </w:p>
    <w:p>
      <w:pPr>
        <w:pStyle w:val="Normal"/>
        <w:rPr/>
      </w:pPr>
      <w:r>
        <w:rPr/>
      </w:r>
    </w:p>
    <w:p>
      <w:pPr>
        <w:pStyle w:val="BodyTextIndent"/>
        <w:numPr>
          <w:ilvl w:val="0"/>
          <w:numId w:val="17"/>
        </w:numPr>
        <w:rPr/>
      </w:pPr>
      <w:r>
        <w:rPr/>
        <w:t>There is a potential that a bankruptcy court could find that Enron Wind had failed to establish grounds to support an involuntary petition because the bankruptcy court believes that Enron Wind's debts are the subject of a bona fide dispute or that SCE is generally paying debts that are not subject to a bona fide dispute.  Although we believe it is unlikely, there is a risk that if the court were to dismiss an involuntary petition filed by Enron Wind, the court could find that Enron Wind acted in bad faith in filing the petition, thereby exposing Enron Wind to damage claims from SCE.</w:t>
      </w:r>
    </w:p>
    <w:p>
      <w:pPr>
        <w:pStyle w:val="BodyText"/>
        <w:jc w:val="center"/>
        <w:rPr>
          <w:b/>
        </w:rPr>
      </w:pPr>
      <w:r>
        <w:rPr>
          <w:b/>
        </w:rPr>
        <w:t>B.</w:t>
        <w:tab/>
      </w:r>
      <w:r>
        <w:rPr>
          <w:b/>
          <w:u w:val="single"/>
        </w:rPr>
        <w:t>Commencement of Involuntary Bankruptcy Case</w:t>
      </w:r>
    </w:p>
    <w:p>
      <w:pPr>
        <w:pStyle w:val="BodyTextIndent"/>
        <w:numPr>
          <w:ilvl w:val="0"/>
          <w:numId w:val="5"/>
        </w:numPr>
        <w:rPr/>
      </w:pPr>
      <w:r>
        <w:rPr/>
        <w:t>An involuntary petition can be commenced by three or more creditors having unsecured claims aggregating in excess of $10,775.  The debts must not be “contingent as to liability”, or the subject of a “bona fide dispute.”  Other creditors can join the petition after it is filed.</w:t>
      </w:r>
    </w:p>
    <w:p>
      <w:pPr>
        <w:pStyle w:val="BodyTextIndent"/>
        <w:numPr>
          <w:ilvl w:val="0"/>
          <w:numId w:val="5"/>
        </w:numPr>
        <w:rPr/>
      </w:pPr>
      <w:r>
        <w:rPr/>
        <w:t>In our direct experience with involuntarily petitions (including the largest to date, Service Merchandise, which had over $2 billion in debt, and in which we represented one of the petitioning creditors), it is important to have a representative coalition of of 5 or 6 creditors join in the filing of the petition.</w:t>
      </w:r>
    </w:p>
    <w:p>
      <w:pPr>
        <w:pStyle w:val="BodyTextIndent"/>
        <w:numPr>
          <w:ilvl w:val="0"/>
          <w:numId w:val="5"/>
        </w:numPr>
        <w:rPr/>
      </w:pPr>
      <w:r>
        <w:rPr/>
        <w:t>The potential debtor has 20 days to respond to the petition.  If it contests the petition an evidentiary hearing is held, probably within 60 to 90 days after the petition is filed.  The potential debtor can also request the court to require the petitioning creditors to post a bond to indemnify it against any damages that may be assessed if the petition is dismissed (see below) although this is rare if the petitioning creditors are substantial business entities.  To prevail with the petition, the petitioning creditors must establish that the debtor is “generally not paying” its debts as they become due.  “Generally” tends to mean a substantial portion of otherwise undisputed debts in relation to the overall size of the business.</w:t>
      </w:r>
    </w:p>
    <w:p>
      <w:pPr>
        <w:pStyle w:val="BodyTextIndent"/>
        <w:numPr>
          <w:ilvl w:val="0"/>
          <w:numId w:val="5"/>
        </w:numPr>
        <w:rPr/>
      </w:pPr>
      <w:r>
        <w:rPr/>
        <w:t>It is a defense if the potential debtor can establish that the reason it is not paying certain of its debts is because those particular debts are the subject of a bona fide dispute.  The debtor also may challenge the petition by asserting that the claims of one or more of the petitioning creditors themselves are either contingent (i.e., the obligation to pay depends upon the happening of some future event, as in a guarantee) or the subject of a bona fide dispute (i.e., generally that the debtor has a non-frivolous defense to payment).  If the court finds these defenses valid and therefore the creditors fail to prove their case the petition will be dismissed and the petitioning creditors will be exposed to costs and attorney's fees.  If the court finds that the petition was brought in bad faith, the petitioning creditor could be held liable for consequential and punitive damages.</w:t>
      </w:r>
    </w:p>
    <w:p>
      <w:pPr>
        <w:pStyle w:val="BodyTextIndent"/>
        <w:rPr/>
      </w:pPr>
      <w:r>
        <w:rPr/>
      </w:r>
    </w:p>
    <w:p>
      <w:pPr>
        <w:pStyle w:val="BodyText"/>
        <w:spacing w:before="0" w:after="0"/>
        <w:jc w:val="center"/>
        <w:rPr/>
      </w:pPr>
      <w:r>
        <w:rPr>
          <w:b/>
        </w:rPr>
        <w:t>C.</w:t>
        <w:tab/>
      </w:r>
      <w:r>
        <w:rPr>
          <w:b/>
          <w:u w:val="single"/>
        </w:rPr>
        <w:t xml:space="preserve">Likelihood of Enron Wind Establishing Elements </w:t>
      </w:r>
    </w:p>
    <w:p>
      <w:pPr>
        <w:pStyle w:val="BodyText"/>
        <w:jc w:val="center"/>
        <w:rPr>
          <w:b/>
        </w:rPr>
      </w:pPr>
      <w:r>
        <w:rPr>
          <w:b/>
          <w:u w:val="single"/>
        </w:rPr>
        <w:t>Necessary to an Involuntary Petition</w:t>
      </w:r>
    </w:p>
    <w:p>
      <w:pPr>
        <w:pStyle w:val="BodyTextIndent"/>
        <w:numPr>
          <w:ilvl w:val="0"/>
          <w:numId w:val="9"/>
        </w:numPr>
        <w:rPr/>
      </w:pPr>
      <w:r>
        <w:rPr/>
        <w:t>The unpaid amounts would qualify the Enron Wind entities to join with other creditors in filing an involuntary petition against SCE.  The receivables owed to Enron Wind by SCE would not appear to be contingent as to liability because Enron Wind has delivered the power and SCE has failed to pay by the due dates specified in the contracts.  In addition, courts hold that payment of a creditor by the debtor after the filing of the petition does not disqualify that creditor from being counted as a petitioning creditor.</w:t>
      </w:r>
    </w:p>
    <w:p>
      <w:pPr>
        <w:pStyle w:val="BodyTextIndent"/>
        <w:numPr>
          <w:ilvl w:val="0"/>
          <w:numId w:val="9"/>
        </w:numPr>
        <w:rPr/>
      </w:pPr>
      <w:r>
        <w:rPr/>
        <w:t xml:space="preserve">On the other hand, the obligation for future deliveries cannot support the filing of an involuntary petition today, because SCE has no liability until Enron Wind delivers power.  </w:t>
      </w:r>
    </w:p>
    <w:p>
      <w:pPr>
        <w:pStyle w:val="BodyTextIndent"/>
        <w:numPr>
          <w:ilvl w:val="0"/>
          <w:numId w:val="9"/>
        </w:numPr>
        <w:rPr/>
      </w:pPr>
      <w:r>
        <w:rPr/>
        <w:t>Because SCE has failed to provide adequate assurance as requested, Enron Wind is probably entitled to assert SCE has repudiated the contracts, suspend future performance and seek such damages for profits it lost on future deliveries.  However, any damage claim would be subject to mitigation requirements.  In other words, Enron Wind must establish that it could not enter into replacement contracts that were at least as profitable.  Until the mitigation has actually occurred SCE would assert that the contract damages (other than for payments owed on account of power already delivered) are subject to a bona fide dispute and would not support Enron Wind’s filing an involuntary petition.</w:t>
      </w:r>
    </w:p>
    <w:p>
      <w:pPr>
        <w:pStyle w:val="BodyTextIndent"/>
        <w:numPr>
          <w:ilvl w:val="0"/>
          <w:numId w:val="9"/>
        </w:numPr>
        <w:rPr/>
      </w:pPr>
      <w:r>
        <w:rPr/>
        <w:t>We would anticipate that SCE would assert that the amounts owing on the past due payments are subject to a bona fide dispute for several additional reasons:</w:t>
      </w:r>
    </w:p>
    <w:p>
      <w:pPr>
        <w:pStyle w:val="BodyTextIndent"/>
        <w:numPr>
          <w:ilvl w:val="0"/>
          <w:numId w:val="15"/>
        </w:numPr>
        <w:tabs>
          <w:tab w:val="left" w:pos="720" w:leader="none"/>
        </w:tabs>
        <w:ind w:hanging="360" w:start="720" w:end="0"/>
        <w:rPr/>
      </w:pPr>
      <w:r>
        <w:rPr/>
        <w:t xml:space="preserve">There is presently pending before the California legislature a bill which would limit the rate being charged by QFs.  While the rate action would be prospective, the bill would delay the payment date of the invoices for power delivered from November, 2000 forward, and thus, those invoices would no longer be in default, but would still be owing.  </w:t>
      </w:r>
    </w:p>
    <w:p>
      <w:pPr>
        <w:pStyle w:val="BodyTextIndent"/>
        <w:numPr>
          <w:ilvl w:val="0"/>
          <w:numId w:val="15"/>
        </w:numPr>
        <w:tabs>
          <w:tab w:val="left" w:pos="720" w:leader="none"/>
        </w:tabs>
        <w:ind w:hanging="360" w:start="720" w:end="0"/>
        <w:rPr/>
      </w:pPr>
      <w:r>
        <w:rPr/>
        <w:t>SCE can be expected to assert that it is not legally obligated to pay for power in excess of the price it can recover from consumers; however, this argument has been raised frequently in other contexts and rejected.  SCE has effectively made that argument in regards to its purchases from the PX and ISO.  However, it did pay the PX and ISO amounts it felt it could recover on rates, whereas it has paid Enron Wind nothing.  Thus, to put Enron Wind's claims in a bona fide dispute, SCE would have to also argue something in addition, such as that it overpaid in earlier months and is entitled to a credit for the “appropriate” charge in later months, since the entire claim must be the subject of a bona fide dispute to warrant dismissal.</w:t>
      </w:r>
    </w:p>
    <w:p>
      <w:pPr>
        <w:pStyle w:val="BodyTextIndent"/>
        <w:numPr>
          <w:ilvl w:val="0"/>
          <w:numId w:val="8"/>
        </w:numPr>
        <w:rPr/>
      </w:pPr>
      <w:r>
        <w:rPr/>
        <w:t xml:space="preserve">SCE may also argue that it </w:t>
      </w:r>
      <w:r>
        <w:rPr>
          <w:i/>
        </w:rPr>
        <w:t>is</w:t>
      </w:r>
      <w:r>
        <w:rPr/>
        <w:t xml:space="preserve"> “generally” paying its debts as they come due, other than those in bona fide dispute.  This might be based on several factors including:</w:t>
      </w:r>
    </w:p>
    <w:p>
      <w:pPr>
        <w:pStyle w:val="BodyTextIndent"/>
        <w:numPr>
          <w:ilvl w:val="0"/>
          <w:numId w:val="16"/>
        </w:numPr>
        <w:tabs>
          <w:tab w:val="left" w:pos="720" w:leader="none"/>
        </w:tabs>
        <w:ind w:hanging="360" w:start="720" w:end="0"/>
        <w:rPr/>
      </w:pPr>
      <w:r>
        <w:rPr/>
        <w:t>The portion of payments it has not made to the PX and ISO are in bona fide dispute. (as discussed above).</w:t>
      </w:r>
    </w:p>
    <w:p>
      <w:pPr>
        <w:pStyle w:val="BodyTextIndent"/>
        <w:numPr>
          <w:ilvl w:val="0"/>
          <w:numId w:val="16"/>
        </w:numPr>
        <w:tabs>
          <w:tab w:val="left" w:pos="720" w:leader="none"/>
        </w:tabs>
        <w:ind w:hanging="360" w:start="720" w:end="0"/>
        <w:rPr/>
      </w:pPr>
      <w:r>
        <w:rPr/>
        <w:t>It has a forbearance agreement with at least some of the principal banks through early March.</w:t>
      </w:r>
    </w:p>
    <w:p>
      <w:pPr>
        <w:pStyle w:val="BodyTextIndent"/>
        <w:numPr>
          <w:ilvl w:val="0"/>
          <w:numId w:val="16"/>
        </w:numPr>
        <w:tabs>
          <w:tab w:val="left" w:pos="720" w:leader="none"/>
        </w:tabs>
        <w:ind w:hanging="360" w:start="720" w:end="0"/>
        <w:rPr/>
      </w:pPr>
      <w:r>
        <w:rPr/>
        <w:t>It is proposing to pay commercial paper holders current interest and they appear generally to be acquiescing in that treatment.  The same is true of the bondholders.</w:t>
      </w:r>
    </w:p>
    <w:p>
      <w:pPr>
        <w:pStyle w:val="BodyTextIndent"/>
        <w:numPr>
          <w:ilvl w:val="0"/>
          <w:numId w:val="16"/>
        </w:numPr>
        <w:tabs>
          <w:tab w:val="left" w:pos="720" w:leader="none"/>
        </w:tabs>
        <w:ind w:hanging="360" w:start="720" w:end="0"/>
        <w:rPr/>
      </w:pPr>
      <w:r>
        <w:rPr/>
        <w:t>The claims of the generators generally are pass-through claims from the ISO and PX, (although the PX is now shut down) and thus are subject to the defenses discussed above.</w:t>
      </w:r>
    </w:p>
    <w:p>
      <w:pPr>
        <w:pStyle w:val="BodyText"/>
        <w:jc w:val="center"/>
        <w:rPr>
          <w:b/>
        </w:rPr>
      </w:pPr>
      <w:r>
        <w:rPr>
          <w:b/>
        </w:rPr>
        <w:t>D.</w:t>
        <w:tab/>
      </w:r>
      <w:r>
        <w:rPr>
          <w:b/>
          <w:u w:val="single"/>
        </w:rPr>
        <w:t>Bad Faith Filing</w:t>
      </w:r>
    </w:p>
    <w:p>
      <w:pPr>
        <w:pStyle w:val="BodyTextIndent"/>
        <w:numPr>
          <w:ilvl w:val="0"/>
          <w:numId w:val="12"/>
        </w:numPr>
        <w:rPr/>
      </w:pPr>
      <w:r>
        <w:rPr/>
        <w:t xml:space="preserve">SCE may argue that Enron Wind has filed the petition in bad faith.  </w:t>
      </w:r>
    </w:p>
    <w:p>
      <w:pPr>
        <w:pStyle w:val="BodyTextIndent"/>
        <w:numPr>
          <w:ilvl w:val="0"/>
          <w:numId w:val="4"/>
        </w:numPr>
        <w:tabs>
          <w:tab w:val="left" w:pos="720" w:leader="none"/>
        </w:tabs>
        <w:ind w:hanging="360" w:start="720" w:end="0"/>
        <w:rPr/>
      </w:pPr>
      <w:r>
        <w:rPr/>
        <w:t>Examples of bad faith include using the filing to harass or attempt to ruin the debtor or undermine its business, to acquire control, to extract payment on the debt in preference to other creditors, to delay or frustrate another proceeding or simply to subject the debtor to increased costs.  A finding of bad faith is highly fact specific and dependent upon the circumstances of each case.</w:t>
      </w:r>
    </w:p>
    <w:p>
      <w:pPr>
        <w:pStyle w:val="BodyTextIndent"/>
        <w:numPr>
          <w:ilvl w:val="0"/>
          <w:numId w:val="4"/>
        </w:numPr>
        <w:tabs>
          <w:tab w:val="left" w:pos="720" w:leader="none"/>
        </w:tabs>
        <w:ind w:hanging="360" w:start="720" w:end="0"/>
        <w:rPr/>
      </w:pPr>
      <w:r>
        <w:rPr/>
        <w:t>Using an involuntary petition as a debt collection device (as opposed to a suit on the debt) may give rise to a dismissal for bad faith filing.  Where a petition is dismissed as a bad faith filing the petitioning creditors are subject to damage claims, including, if the court finds the circumstances so warrant, consequential and punitive damages.  Assuming there are creditors joining the petition other than Enron affiliates, we think a finding of bad faith is unlikely; however, abstention (see below) may be more likely given the current circumstances.</w:t>
      </w:r>
    </w:p>
    <w:p>
      <w:pPr>
        <w:pStyle w:val="BodyText"/>
        <w:jc w:val="center"/>
        <w:rPr>
          <w:b/>
        </w:rPr>
      </w:pPr>
      <w:r>
        <w:rPr>
          <w:b/>
        </w:rPr>
        <w:t>E.</w:t>
        <w:tab/>
      </w:r>
      <w:r>
        <w:rPr>
          <w:b/>
          <w:u w:val="single"/>
        </w:rPr>
        <w:t>Abstention Doctrine</w:t>
      </w:r>
    </w:p>
    <w:p>
      <w:pPr>
        <w:pStyle w:val="BodyTextIndent"/>
        <w:numPr>
          <w:ilvl w:val="0"/>
          <w:numId w:val="13"/>
        </w:numPr>
        <w:rPr/>
      </w:pPr>
      <w:r>
        <w:rPr/>
        <w:t>SCE may argue that the petition should be dismissed or suspended under the abstention doctrine.</w:t>
      </w:r>
    </w:p>
    <w:p>
      <w:pPr>
        <w:pStyle w:val="BodyTextIndent"/>
        <w:numPr>
          <w:ilvl w:val="0"/>
          <w:numId w:val="4"/>
        </w:numPr>
        <w:tabs>
          <w:tab w:val="left" w:pos="720" w:leader="none"/>
        </w:tabs>
        <w:ind w:hanging="360" w:start="720" w:end="0"/>
        <w:rPr/>
      </w:pPr>
      <w:r>
        <w:rPr/>
        <w:t>As indicated below, courts will look at the benefit to the creditor body as a whole in determining whether to grant an involuntary petition.  Such general benefits include preserving preference and fraudulent transfer claims, preventing seizure of assets by creditors, bringing a debtor’s operations under court supervision so creditors can better monitor the debtor’s activities (particularly in cases of incompetent or fraudulent management practices), and preventing further preferential and fraudulent transfers.</w:t>
      </w:r>
    </w:p>
    <w:p>
      <w:pPr>
        <w:pStyle w:val="BodyTextIndent"/>
        <w:numPr>
          <w:ilvl w:val="0"/>
          <w:numId w:val="4"/>
        </w:numPr>
        <w:tabs>
          <w:tab w:val="left" w:pos="720" w:leader="none"/>
        </w:tabs>
        <w:ind w:hanging="360" w:start="720" w:end="0"/>
        <w:rPr/>
      </w:pPr>
      <w:r>
        <w:rPr/>
        <w:t xml:space="preserve">Even where the </w:t>
      </w:r>
      <w:r>
        <w:rPr>
          <w:i/>
        </w:rPr>
        <w:t xml:space="preserve">prima facie </w:t>
      </w:r>
      <w:r>
        <w:rPr/>
        <w:t>requirements for granting an involuntary petition have been met, a bankruptcy court can abstain, which is functionally the same as dismissal.  Typical grounds for abstention include:</w:t>
      </w:r>
    </w:p>
    <w:p>
      <w:pPr>
        <w:pStyle w:val="BodyTextIndent"/>
        <w:numPr>
          <w:ilvl w:val="0"/>
          <w:numId w:val="3"/>
        </w:numPr>
        <w:tabs>
          <w:tab w:val="clear" w:pos="720"/>
        </w:tabs>
        <w:ind w:hanging="540" w:start="1260" w:end="0"/>
        <w:rPr/>
      </w:pPr>
      <w:r>
        <w:rPr/>
        <w:t>The involuntary petition was filed by a few disgruntled creditors trying to extract payment and the majority of creditors oppose the petition.</w:t>
      </w:r>
    </w:p>
    <w:p>
      <w:pPr>
        <w:pStyle w:val="BodyTextIndent"/>
        <w:numPr>
          <w:ilvl w:val="0"/>
          <w:numId w:val="3"/>
        </w:numPr>
        <w:tabs>
          <w:tab w:val="clear" w:pos="720"/>
        </w:tabs>
        <w:ind w:hanging="540" w:start="1260" w:end="0"/>
        <w:rPr/>
      </w:pPr>
      <w:r>
        <w:rPr/>
        <w:t>There is an out-of-court restructuring in progress, such as the Governor's efforts to resolve the situation by having the state purchase power and acquire the utilities transmission assets (an agreement on which was announced today with SCE).</w:t>
      </w:r>
    </w:p>
    <w:p>
      <w:pPr>
        <w:pStyle w:val="BodyTextIndent"/>
        <w:numPr>
          <w:ilvl w:val="0"/>
          <w:numId w:val="14"/>
        </w:numPr>
        <w:tabs>
          <w:tab w:val="clear" w:pos="720"/>
          <w:tab w:val="left" w:pos="1260" w:leader="none"/>
        </w:tabs>
        <w:ind w:hanging="540" w:start="1260" w:end="0"/>
        <w:rPr>
          <w:b/>
        </w:rPr>
      </w:pPr>
      <w:r>
        <w:rPr/>
        <w:t>The debtor’s interests are furthered by a dismissal and there is no prejudice to the overall creditor body in moving forward with attempts at an out-of-court restructuring.</w:t>
      </w:r>
      <w:r>
        <w:rPr>
          <w:b/>
        </w:rPr>
        <w:t xml:space="preserve"> </w:t>
      </w:r>
    </w:p>
    <w:p>
      <w:pPr>
        <w:pStyle w:val="BodyTextIndent"/>
        <w:numPr>
          <w:ilvl w:val="0"/>
          <w:numId w:val="11"/>
        </w:numPr>
        <w:tabs>
          <w:tab w:val="left" w:pos="720" w:leader="none"/>
        </w:tabs>
        <w:ind w:hanging="360" w:start="720" w:end="0"/>
        <w:rPr>
          <w:b/>
        </w:rPr>
      </w:pPr>
      <w:r>
        <w:rPr/>
        <w:t>A dismissal on abstention grounds, or a suspension of the petition by the bankruptcy court would not expose Enron Wind to damage claims for a bad faith filing.</w:t>
      </w:r>
    </w:p>
    <w:p>
      <w:pPr>
        <w:pStyle w:val="BodyText"/>
        <w:jc w:val="center"/>
        <w:rPr>
          <w:b/>
        </w:rPr>
      </w:pPr>
      <w:r>
        <w:rPr>
          <w:b/>
        </w:rPr>
        <w:t>E.</w:t>
        <w:tab/>
      </w:r>
      <w:r>
        <w:rPr>
          <w:b/>
          <w:u w:val="single"/>
        </w:rPr>
        <w:t>Withdrawal of Petition</w:t>
      </w:r>
    </w:p>
    <w:p>
      <w:pPr>
        <w:pStyle w:val="BodyTextIndent"/>
        <w:numPr>
          <w:ilvl w:val="0"/>
          <w:numId w:val="10"/>
        </w:numPr>
        <w:rPr/>
      </w:pPr>
      <w:r>
        <w:rPr/>
        <w:t>Even if the petitioning creditors are paid and want to withdraw a petition, such withdrawal can only be accomplished by order of the court after notice to the entire creditor body.  This is a recognition that filing an involuntary petition is an act that is viewed from the perspective of all creditors, not just those who filed the involuntary petition.  It also highlights the risk to those creditors where they are proceeding against the consensus of the larger creditor body.</w:t>
      </w:r>
    </w:p>
    <w:p>
      <w:pPr>
        <w:pStyle w:val="BodyText"/>
        <w:jc w:val="center"/>
        <w:rPr/>
      </w:pPr>
      <w:r>
        <w:rPr>
          <w:b/>
        </w:rPr>
        <w:t xml:space="preserve">F.  </w:t>
      </w:r>
      <w:r>
        <w:rPr>
          <w:b/>
          <w:u w:val="single"/>
        </w:rPr>
        <w:t>Conclusion</w:t>
      </w:r>
    </w:p>
    <w:p>
      <w:pPr>
        <w:pStyle w:val="BodyTextIndent"/>
        <w:numPr>
          <w:ilvl w:val="0"/>
          <w:numId w:val="6"/>
        </w:numPr>
        <w:rPr/>
      </w:pPr>
      <w:r>
        <w:rPr/>
        <w:t>Given the politically charged atmosphere, and the significant efforts the State is putting into an out-of-court resolution, we believe that there is a higher probability of abstention than normally exists in such filings.  As long as a potential legislative solution is proceeding, and the State and the utilities are negotiating to addresses the issues of the creditors, we see the bankruptcy courts as reluctant to take over the process, notwithstanding that the technical requirements for granting an involuntary petition might have been met.  The great costs to a very large corporation of a chapter 11 case are also a factor here as these would be avoided if other processes are successful.</w:t>
      </w:r>
    </w:p>
    <w:p>
      <w:pPr>
        <w:pStyle w:val="BodyTextIndent"/>
        <w:numPr>
          <w:ilvl w:val="0"/>
          <w:numId w:val="7"/>
        </w:numPr>
        <w:rPr/>
      </w:pPr>
      <w:r>
        <w:rPr/>
        <w:t>The above concerns are highlighted if the Enron Wind entities are the only petitioning creditors.  In a circumstance where there is no creditor consensus that an involuntary petition is necessary there is an increased risk of a finding of abstention or, although much less likely in our view, possibly bad faith, by the bankruptcy court, because there would be an impression that the general creditors believed there was not an urgent need to protect the debtor’s business or assets through the court process.</w:t>
      </w:r>
    </w:p>
    <w:p>
      <w:pPr>
        <w:pStyle w:val="BodyTextIndent"/>
        <w:numPr>
          <w:ilvl w:val="0"/>
          <w:numId w:val="7"/>
        </w:numPr>
        <w:spacing w:before="0" w:after="240"/>
        <w:rPr/>
      </w:pPr>
      <w:r>
        <w:rPr/>
        <w:t>We are not addressing in this memorandum the adviseability of commencing litigation against SCE in the appropriate forum to collect the unpaid receivables.  Although we have not focused our analysis on that issue, we did not see any reason why such litigation could not be commenced if Enron Wind chose to do so.</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KEYWORDS </w:instrText>
    </w:r>
    <w:r>
      <w:rPr/>
      <w:fldChar w:fldCharType="separate"/>
    </w:r>
    <w:r>
      <w:rPr/>
      <w:t>DN 163194.2 02618 00125 2/26/2001  11:27 AM</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KEYWORDS </w:instrText>
    </w:r>
    <w:r>
      <w:rPr/>
      <w:fldChar w:fldCharType="separate"/>
    </w:r>
    <w:r>
      <w:rPr/>
      <w:t>DN 163194.2 02618 00125 2/26/2001  11:27 AM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lang w:val="en-CA"/>
    </w:rPr>
  </w:style>
  <w:style w:type="paragraph" w:styleId="Heading5">
    <w:name w:val="heading 5"/>
    <w:basedOn w:val="Normal"/>
    <w:next w:val="Normal"/>
    <w:qFormat/>
    <w:pPr>
      <w:numPr>
        <w:ilvl w:val="4"/>
        <w:numId w:val="1"/>
      </w:numPr>
      <w:spacing w:before="240" w:after="60"/>
      <w:outlineLvl w:val="4"/>
    </w:pPr>
    <w:rPr>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MemoHeading">
    <w:name w:val="MemoHeading"/>
    <w:basedOn w:val="DefaultParagraphFont"/>
    <w:qFormat/>
    <w:rPr>
      <w:rFonts w:ascii="Arial" w:hAnsi="Arial" w:cs="Arial"/>
      <w:smallCaps/>
      <w:sz w:val="22"/>
    </w:rPr>
  </w:style>
  <w:style w:type="paragraph" w:styleId="Heading">
    <w:name w:val="Heading"/>
    <w:basedOn w:val="Normal"/>
    <w:next w:val="BodyText"/>
    <w:qFormat/>
    <w:pPr>
      <w:jc w:val="center"/>
    </w:pPr>
    <w:rPr>
      <w:rFonts w:ascii="Univers" w:hAnsi="Univers" w:cs="Univers"/>
      <w:smallCaps/>
      <w:spacing w:val="30"/>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4"/>
    </w:rPr>
  </w:style>
  <w:style w:type="paragraph" w:styleId="MemoDate">
    <w:name w:val="MemoDate"/>
    <w:basedOn w:val="Normal"/>
    <w:qFormat/>
    <w:pPr>
      <w:tabs>
        <w:tab w:val="clear" w:pos="720"/>
        <w:tab w:val="left" w:pos="1440" w:leader="none"/>
      </w:tabs>
      <w:spacing w:before="1920" w:after="240"/>
      <w:ind w:hanging="1440" w:start="1440" w:end="0"/>
      <w:jc w:val="center"/>
    </w:pPr>
    <w:rPr/>
  </w:style>
  <w:style w:type="paragraph" w:styleId="ccLine">
    <w:name w:val="ccLine"/>
    <w:basedOn w:val="Normal"/>
    <w:qFormat/>
    <w:pPr>
      <w:tabs>
        <w:tab w:val="clear" w:pos="720"/>
        <w:tab w:val="left" w:pos="1440" w:leader="none"/>
      </w:tabs>
      <w:ind w:hanging="0" w:start="1440" w:end="0"/>
    </w:pPr>
    <w:rPr/>
  </w:style>
  <w:style w:type="paragraph" w:styleId="BodyTextIndent">
    <w:name w:val="Body Text Indent"/>
    <w:basedOn w:val="Normal"/>
    <w:pPr>
      <w:spacing w:before="0" w:after="240"/>
      <w:ind w:firstLine="1440" w:start="0" w:end="0"/>
    </w:pPr>
    <w:rPr/>
  </w:style>
  <w:style w:type="paragraph" w:styleId="TopHeading">
    <w:name w:val="Top Heading"/>
    <w:basedOn w:val="Normal"/>
    <w:qFormat/>
    <w:pPr>
      <w:tabs>
        <w:tab w:val="clear" w:pos="720"/>
        <w:tab w:val="left" w:pos="1440" w:leader="none"/>
      </w:tabs>
      <w:spacing w:before="240" w:after="0"/>
      <w:ind w:hanging="1440" w:start="1440" w:end="0"/>
    </w:pPr>
    <w:rPr/>
  </w:style>
  <w:style w:type="paragraph" w:styleId="RE">
    <w:name w:val="RE"/>
    <w:basedOn w:val="TopHeading"/>
    <w:qFormat/>
    <w:pPr>
      <w:spacing w:before="240" w:after="240"/>
    </w:pPr>
    <w:rPr/>
  </w:style>
  <w:style w:type="paragraph" w:styleId="Header">
    <w:name w:val="header"/>
    <w:basedOn w:val="Normal"/>
    <w:pPr>
      <w:tabs>
        <w:tab w:val="clear" w:pos="720"/>
        <w:tab w:val="center" w:pos="4320" w:leader="none"/>
        <w:tab w:val="right" w:pos="8640" w:leader="none"/>
      </w:tabs>
    </w:pPr>
    <w:rPr/>
  </w:style>
  <w:style w:type="paragraph" w:styleId="ccend">
    <w:name w:val="ccend"/>
    <w:basedOn w:val="BodyTextIndent"/>
    <w:qFormat/>
    <w:pPr>
      <w:spacing w:before="0" w:after="0"/>
      <w:ind w:hanging="0" w:start="720" w:end="0"/>
    </w:pPr>
    <w:rPr/>
  </w:style>
  <w:style w:type="paragraph" w:styleId="CCHeading">
    <w:name w:val="CCHeading"/>
    <w:basedOn w:val="TopHeading"/>
    <w:qFormat/>
    <w:pPr>
      <w:spacing w:before="0" w:after="0"/>
      <w:ind w:hanging="1440" w:start="28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2001-02-26T19:01:00Z</dcterms:created>
  <dc:creator>IS Department</dc:creator>
  <dc:description/>
  <cp:keywords>DN 163194.2 02618 00125 2/26/2001  11:27 AM</cp:keywords>
  <dc:language>en-CA</dc:language>
  <cp:lastModifiedBy>IS Department</cp:lastModifiedBy>
  <cp:lastPrinted>2001-02-26T11:47:00Z</cp:lastPrinted>
  <dcterms:modified xsi:type="dcterms:W3CDTF">2001-02-26T19:55:00Z</dcterms:modified>
  <cp:revision>3</cp:revision>
  <dc:subject/>
  <dc:title/>
</cp:coreProperties>
</file>