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RSB Comments on NJD Draft 2</w:t>
      </w:r>
    </w:p>
    <w:p>
      <w:pPr>
        <w:pStyle w:val="Normal"/>
        <w:jc w:val="center"/>
        <w:rPr>
          <w:b/>
          <w:bCs/>
        </w:rPr>
      </w:pPr>
      <w:r>
        <w:rPr>
          <w:b/>
          <w:bCs/>
        </w:rPr>
      </w:r>
    </w:p>
    <w:p>
      <w:pPr>
        <w:pStyle w:val="Normal"/>
        <w:jc w:val="center"/>
        <w:rPr/>
      </w:pPr>
      <w:r>
        <w:rPr>
          <w:b/>
          <w:bCs/>
        </w:rPr>
        <w:t>DEAL</w:t>
      </w:r>
      <w:r>
        <w:rPr>
          <w:b/>
          <w:bCs/>
          <w:sz w:val="28"/>
        </w:rPr>
        <w:t>B</w:t>
      </w:r>
      <w:r>
        <w:rPr>
          <w:b/>
          <w:bCs/>
        </w:rPr>
        <w:t>ENCH, LLC</w:t>
      </w:r>
    </w:p>
    <w:p>
      <w:pPr>
        <w:pStyle w:val="Normal"/>
        <w:jc w:val="center"/>
        <w:rPr/>
      </w:pPr>
      <w:r>
        <w:rPr/>
        <w:t>November 1, 2000</w:t>
      </w:r>
    </w:p>
    <w:p>
      <w:pPr>
        <w:pStyle w:val="Normal"/>
        <w:jc w:val="center"/>
        <w:rPr/>
      </w:pPr>
      <w:r>
        <w:rPr/>
        <w:t>Discussion Items</w:t>
      </w:r>
    </w:p>
    <w:p>
      <w:pPr>
        <w:pStyle w:val="Normal"/>
        <w:rPr/>
      </w:pPr>
      <w:r>
        <w:rPr/>
      </w:r>
    </w:p>
    <w:p>
      <w:pPr>
        <w:pStyle w:val="Normal"/>
        <w:numPr>
          <w:ilvl w:val="0"/>
          <w:numId w:val="2"/>
        </w:numPr>
        <w:tabs>
          <w:tab w:val="clear" w:pos="720"/>
        </w:tabs>
        <w:ind w:hanging="0" w:start="0" w:end="0"/>
        <w:jc w:val="both"/>
        <w:rPr>
          <w:b/>
          <w:bCs/>
        </w:rPr>
      </w:pPr>
      <w:r>
        <w:rPr>
          <w:b/>
          <w:bCs/>
        </w:rPr>
        <w:t>DealBench Role(s) -- Intended versus Legal Construction</w:t>
      </w:r>
    </w:p>
    <w:p>
      <w:pPr>
        <w:pStyle w:val="Normal"/>
        <w:jc w:val="both"/>
        <w:rPr>
          <w:b/>
          <w:bCs/>
        </w:rPr>
      </w:pPr>
      <w:r>
        <w:rPr>
          <w:b/>
          <w:bCs/>
        </w:rPr>
      </w:r>
    </w:p>
    <w:p>
      <w:pPr>
        <w:pStyle w:val="Normal"/>
        <w:numPr>
          <w:ilvl w:val="0"/>
          <w:numId w:val="2"/>
        </w:numPr>
        <w:tabs>
          <w:tab w:val="clear" w:pos="720"/>
        </w:tabs>
        <w:ind w:hanging="720" w:start="1440" w:end="0"/>
        <w:jc w:val="both"/>
        <w:rPr/>
      </w:pPr>
      <w:r>
        <w:rPr>
          <w:b/>
          <w:bCs/>
        </w:rPr>
        <w:t>Technology Provider</w:t>
      </w:r>
      <w:r>
        <w:rPr/>
        <w:t xml:space="preserve"> – DealBench provides web-based electronic platform to third parties as Deal Managers to facilitate their transactions.</w:t>
      </w:r>
    </w:p>
    <w:p>
      <w:pPr>
        <w:pStyle w:val="Normal"/>
        <w:jc w:val="both"/>
        <w:rPr/>
      </w:pPr>
      <w:r>
        <w:rPr/>
      </w:r>
    </w:p>
    <w:p>
      <w:pPr>
        <w:pStyle w:val="Normal"/>
        <w:numPr>
          <w:ilvl w:val="0"/>
          <w:numId w:val="2"/>
        </w:numPr>
        <w:tabs>
          <w:tab w:val="clear" w:pos="720"/>
        </w:tabs>
        <w:ind w:hanging="720" w:start="2160" w:end="0"/>
        <w:jc w:val="both"/>
        <w:rPr/>
      </w:pPr>
      <w:r>
        <w:rPr/>
        <w:t xml:space="preserve">Depending upon nature of transaction or subject thereof, if another Enron entity is “third-party”, is DealBench’s status as pure technology provider effected? </w:t>
      </w:r>
      <w:r>
        <w:rPr>
          <w:i/>
          <w:iCs/>
        </w:rPr>
        <w:t>I wouldn’t think so.</w:t>
      </w:r>
    </w:p>
    <w:p>
      <w:pPr>
        <w:pStyle w:val="Normal"/>
        <w:jc w:val="both"/>
        <w:rPr/>
      </w:pPr>
      <w:r>
        <w:rPr/>
      </w:r>
    </w:p>
    <w:p>
      <w:pPr>
        <w:pStyle w:val="Normal"/>
        <w:numPr>
          <w:ilvl w:val="0"/>
          <w:numId w:val="2"/>
        </w:numPr>
        <w:tabs>
          <w:tab w:val="clear" w:pos="720"/>
        </w:tabs>
        <w:ind w:hanging="720" w:start="2160" w:end="0"/>
        <w:jc w:val="both"/>
        <w:rPr/>
      </w:pPr>
      <w:r>
        <w:rPr/>
        <w:t>Does DealBench have any duty or regulatory/compliance obligations with respect to various types of transactions Deal Managers put on the site?  For example, if site used by a Deal Manager to sell oil and gas interests (which might legally be real estate and/or securities), is DealBench subject to any licensing, registration or other regulatory requirements?</w:t>
      </w:r>
      <w:r>
        <w:rPr>
          <w:i/>
          <w:iCs/>
        </w:rPr>
        <w:t xml:space="preserve"> We are checking the real estate licensing issues.</w:t>
      </w:r>
    </w:p>
    <w:p>
      <w:pPr>
        <w:pStyle w:val="Normal"/>
        <w:jc w:val="both"/>
        <w:rPr/>
      </w:pPr>
      <w:r>
        <w:rPr/>
      </w:r>
    </w:p>
    <w:p>
      <w:pPr>
        <w:pStyle w:val="Normal"/>
        <w:numPr>
          <w:ilvl w:val="0"/>
          <w:numId w:val="2"/>
        </w:numPr>
        <w:tabs>
          <w:tab w:val="clear" w:pos="720"/>
        </w:tabs>
        <w:ind w:hanging="720" w:start="2160" w:end="0"/>
        <w:jc w:val="both"/>
        <w:rPr/>
      </w:pPr>
      <w:r>
        <w:rPr/>
        <w:t xml:space="preserve">Further to preceding bullet point, although DealBench is not a Deal Manager, does the nature of a particular transaction or subject thereof affect legal status of DealBench’s role? </w:t>
      </w:r>
      <w:r>
        <w:rPr>
          <w:i/>
          <w:iCs/>
        </w:rPr>
        <w:t>Obviously, if someone engaged in activity that is completely illegal (such as auctioning drugs), that could be a problem.  I assume that each Deal Manager will be required to describe the general nature of the activity that will be undertaken on the deal and will be required to represent that it will be done in a manner that is legal and that participants will have such business licenses, etc. as are necessary to permit them to conduct their activities on the site in compliance with law.  I am hopeful that this will be enough, although it is possible that regulatory authorities would not agree, so this is something that should be addressed in any SEC no action letter request or any similar request to any regulatory authority.  Here is my current thinking:</w:t>
      </w:r>
    </w:p>
    <w:p>
      <w:pPr>
        <w:pStyle w:val="Normal"/>
        <w:jc w:val="both"/>
        <w:rPr>
          <w:i/>
          <w:i/>
          <w:iCs/>
        </w:rPr>
      </w:pPr>
      <w:r>
        <w:rPr>
          <w:i/>
          <w:iCs/>
        </w:rPr>
      </w:r>
    </w:p>
    <w:p>
      <w:pPr>
        <w:pStyle w:val="Normal"/>
        <w:ind w:start="2880" w:end="0"/>
        <w:jc w:val="both"/>
        <w:rPr>
          <w:i/>
          <w:i/>
          <w:iCs/>
        </w:rPr>
      </w:pPr>
      <w:r>
        <w:rPr>
          <w:i/>
          <w:iCs/>
        </w:rPr>
        <w:t>(a) We will want to ask the SEC for a no action letter;</w:t>
      </w:r>
    </w:p>
    <w:p>
      <w:pPr>
        <w:pStyle w:val="Normal"/>
        <w:ind w:start="2880" w:end="0"/>
        <w:jc w:val="both"/>
        <w:rPr>
          <w:i/>
          <w:i/>
          <w:iCs/>
        </w:rPr>
      </w:pPr>
      <w:r>
        <w:rPr>
          <w:i/>
          <w:iCs/>
        </w:rPr>
        <w:t>(b) We don’t need to ask the CFTC; and</w:t>
      </w:r>
    </w:p>
    <w:p>
      <w:pPr>
        <w:pStyle w:val="Normal"/>
        <w:ind w:start="2880" w:end="0"/>
        <w:jc w:val="both"/>
        <w:rPr>
          <w:i/>
          <w:i/>
          <w:iCs/>
        </w:rPr>
      </w:pPr>
      <w:r>
        <w:rPr>
          <w:i/>
          <w:iCs/>
        </w:rPr>
        <w:t>(c) We may want to ask state real estate regulatory authorities (this may be done in a given case orally rather than in writing); and</w:t>
      </w:r>
    </w:p>
    <w:p>
      <w:pPr>
        <w:pStyle w:val="Normal"/>
        <w:ind w:start="2880" w:end="0"/>
        <w:jc w:val="both"/>
        <w:rPr>
          <w:i/>
          <w:i/>
          <w:iCs/>
        </w:rPr>
      </w:pPr>
      <w:r>
        <w:rPr>
          <w:i/>
          <w:iCs/>
        </w:rPr>
        <w:t>(d) We may want to take other regulated items on a case-by-case basis; there are probably so many possible examples we will not be able to identify them all in advance, but examples include automobile dealerships, insurance, pharmaceuticals, medical devices, alcoholic beverage and gambling devices.</w:t>
      </w:r>
    </w:p>
    <w:p>
      <w:pPr>
        <w:pStyle w:val="Normal"/>
        <w:jc w:val="both"/>
        <w:rPr/>
      </w:pPr>
      <w:r>
        <w:rPr/>
      </w:r>
    </w:p>
    <w:p>
      <w:pPr>
        <w:pStyle w:val="Normal"/>
        <w:numPr>
          <w:ilvl w:val="0"/>
          <w:numId w:val="2"/>
        </w:numPr>
        <w:tabs>
          <w:tab w:val="clear" w:pos="720"/>
        </w:tabs>
        <w:ind w:hanging="720" w:start="1440" w:end="0"/>
        <w:jc w:val="both"/>
        <w:rPr/>
      </w:pPr>
      <w:r>
        <w:rPr>
          <w:b/>
          <w:bCs/>
        </w:rPr>
        <w:t>Broker</w:t>
      </w:r>
      <w:r>
        <w:rPr/>
        <w:t xml:space="preserve"> – For example, securities, real estate (</w:t>
      </w:r>
      <w:r>
        <w:rPr>
          <w:i/>
          <w:iCs/>
        </w:rPr>
        <w:t>e.g</w:t>
      </w:r>
      <w:r>
        <w:rPr/>
        <w:t>., where oil and gas interests involved).  What affect of following:</w:t>
      </w:r>
    </w:p>
    <w:p>
      <w:pPr>
        <w:pStyle w:val="Normal"/>
        <w:jc w:val="both"/>
        <w:rPr/>
      </w:pPr>
      <w:r>
        <w:rPr/>
      </w:r>
    </w:p>
    <w:p>
      <w:pPr>
        <w:pStyle w:val="Normal"/>
        <w:numPr>
          <w:ilvl w:val="2"/>
          <w:numId w:val="2"/>
        </w:numPr>
        <w:tabs>
          <w:tab w:val="clear" w:pos="720"/>
        </w:tabs>
        <w:ind w:hanging="720" w:start="2160" w:end="0"/>
        <w:jc w:val="both"/>
        <w:rPr/>
      </w:pPr>
      <w:r>
        <w:rPr/>
        <w:t xml:space="preserve">DealBench facilitates a transaction (such as an auction) for a Deal Manager who desires to remain anonymous </w:t>
      </w:r>
      <w:r>
        <w:rPr>
          <w:i/>
          <w:iCs/>
        </w:rPr>
        <w:t xml:space="preserve"> Won’t the Deal Manager still conduct the auction? I am not sure what DealBench would do in this case that is more extensive than it would be in the case where the Deal Manager is not anonomous; let’s discuss.</w:t>
      </w:r>
    </w:p>
    <w:p>
      <w:pPr>
        <w:pStyle w:val="Normal"/>
        <w:ind w:start="1440" w:end="0"/>
        <w:jc w:val="both"/>
        <w:rPr/>
      </w:pPr>
      <w:r>
        <w:rPr/>
      </w:r>
    </w:p>
    <w:p>
      <w:pPr>
        <w:pStyle w:val="Normal"/>
        <w:numPr>
          <w:ilvl w:val="2"/>
          <w:numId w:val="2"/>
        </w:numPr>
        <w:tabs>
          <w:tab w:val="clear" w:pos="720"/>
        </w:tabs>
        <w:ind w:hanging="720" w:start="2160" w:end="0"/>
        <w:jc w:val="both"/>
        <w:rPr/>
      </w:pPr>
      <w:r>
        <w:rPr/>
        <w:t xml:space="preserve">DealBench (1) identifies (i) a transaction type, </w:t>
      </w:r>
      <w:r>
        <w:rPr>
          <w:i/>
          <w:iCs/>
        </w:rPr>
        <w:t>e.g</w:t>
      </w:r>
      <w:r>
        <w:rPr/>
        <w:t xml:space="preserve">., secondary sales of debt participations, and (ii) institutions who generally are interested in participating in such transactions, and (2) contacts those institutions for prior general written consent to be invited by Deal Managers from time to time to participate in those transactions.  </w:t>
      </w:r>
      <w:r>
        <w:rPr>
          <w:i/>
          <w:iCs/>
        </w:rPr>
        <w:t xml:space="preserve">This may cause some problems with the SEC no action letter request.  It may be better in the long run for DealBench to let the Deal Managers contact participants, but then the participant list could  develop based on solicitations by Deal Managers rather than DealBench. </w:t>
      </w:r>
    </w:p>
    <w:p>
      <w:pPr>
        <w:pStyle w:val="Normal"/>
        <w:jc w:val="both"/>
        <w:rPr/>
      </w:pPr>
      <w:r>
        <w:rPr/>
      </w:r>
    </w:p>
    <w:p>
      <w:pPr>
        <w:pStyle w:val="Normal"/>
        <w:numPr>
          <w:ilvl w:val="0"/>
          <w:numId w:val="2"/>
        </w:numPr>
        <w:tabs>
          <w:tab w:val="clear" w:pos="720"/>
        </w:tabs>
        <w:ind w:hanging="720" w:start="1440" w:end="0"/>
        <w:jc w:val="both"/>
        <w:rPr/>
      </w:pPr>
      <w:r>
        <w:rPr>
          <w:b/>
          <w:bCs/>
        </w:rPr>
        <w:t>Dealer</w:t>
      </w:r>
      <w:r>
        <w:rPr/>
        <w:t xml:space="preserve"> – DealBench holds a position. </w:t>
      </w:r>
      <w:r>
        <w:rPr>
          <w:i/>
          <w:iCs/>
        </w:rPr>
        <w:t>This depends on whether DealBench acts as a dealer or a trader; I would think it would be easy to avoid dealer characterization.</w:t>
      </w:r>
    </w:p>
    <w:p>
      <w:pPr>
        <w:pStyle w:val="Normal"/>
        <w:ind w:start="720" w:end="0"/>
        <w:jc w:val="both"/>
        <w:rPr/>
      </w:pPr>
      <w:r>
        <w:rPr/>
      </w:r>
    </w:p>
    <w:p>
      <w:pPr>
        <w:pStyle w:val="Normal"/>
        <w:numPr>
          <w:ilvl w:val="0"/>
          <w:numId w:val="2"/>
        </w:numPr>
        <w:tabs>
          <w:tab w:val="clear" w:pos="720"/>
        </w:tabs>
        <w:ind w:hanging="720" w:start="1440" w:end="0"/>
        <w:jc w:val="both"/>
        <w:rPr/>
      </w:pPr>
      <w:r>
        <w:rPr>
          <w:b/>
          <w:bCs/>
        </w:rPr>
        <w:t xml:space="preserve">Exchange – </w:t>
      </w:r>
      <w:r>
        <w:rPr/>
        <w:t>For example, what affect if (1) user of DealBench can run multiple windows—</w:t>
      </w:r>
      <w:r>
        <w:rPr>
          <w:i/>
          <w:iCs/>
        </w:rPr>
        <w:t>i.e.</w:t>
      </w:r>
      <w:r>
        <w:rPr/>
        <w:t xml:space="preserve">, user has simultaneous access to multiple transactions of similar type or involving same asset (but different sellers/Deal Managers), or (2) DealBench facilitates auctions for EnronOnline with EOL as Deal Manager.  </w:t>
      </w:r>
      <w:r>
        <w:rPr>
          <w:i/>
          <w:iCs/>
        </w:rPr>
        <w:t>This is one of the reasons I think we need an SEC no action letter.  The standards for what constitutes and exchange are very vague, and the SEC has granted some no action letters, so I think we have a chance of being successful in obtaining a no action position.  It will be based, however, on a “hands off” approach to deals done on the system.</w:t>
      </w:r>
    </w:p>
    <w:p>
      <w:pPr>
        <w:pStyle w:val="Normal"/>
        <w:jc w:val="both"/>
        <w:rPr/>
      </w:pPr>
      <w:r>
        <w:rPr/>
      </w:r>
    </w:p>
    <w:p>
      <w:pPr>
        <w:pStyle w:val="Normal"/>
        <w:numPr>
          <w:ilvl w:val="0"/>
          <w:numId w:val="2"/>
        </w:numPr>
        <w:tabs>
          <w:tab w:val="clear" w:pos="720"/>
        </w:tabs>
        <w:ind w:hanging="0" w:start="0" w:end="0"/>
        <w:jc w:val="both"/>
        <w:rPr/>
      </w:pPr>
      <w:r>
        <w:rPr>
          <w:b/>
          <w:bCs/>
        </w:rPr>
        <w:t>Certain Possible Transactions conducted on DealBench by Deal Managers</w:t>
      </w:r>
    </w:p>
    <w:p>
      <w:pPr>
        <w:pStyle w:val="Normal"/>
        <w:jc w:val="both"/>
        <w:rPr/>
      </w:pPr>
      <w:r>
        <w:rPr/>
      </w:r>
    </w:p>
    <w:p>
      <w:pPr>
        <w:pStyle w:val="Normal"/>
        <w:numPr>
          <w:ilvl w:val="0"/>
          <w:numId w:val="2"/>
        </w:numPr>
        <w:tabs>
          <w:tab w:val="clear" w:pos="720"/>
        </w:tabs>
        <w:ind w:hanging="720" w:start="1440" w:end="0"/>
        <w:jc w:val="both"/>
        <w:rPr/>
      </w:pPr>
      <w:r>
        <w:rPr/>
        <w:t xml:space="preserve">Mergers and Acquisitions.  </w:t>
      </w:r>
      <w:r>
        <w:rPr>
          <w:i/>
          <w:iCs/>
        </w:rPr>
        <w:t>Depending on who the Deal Manager is, the Deal Manager may need to be a licensed broker-dealer, but I don’t think DealBench would need to be if it merely furnishes the platform.</w:t>
      </w:r>
    </w:p>
    <w:p>
      <w:pPr>
        <w:pStyle w:val="Normal"/>
        <w:jc w:val="both"/>
        <w:rPr/>
      </w:pPr>
      <w:r>
        <w:rPr/>
      </w:r>
    </w:p>
    <w:p>
      <w:pPr>
        <w:pStyle w:val="Normal"/>
        <w:numPr>
          <w:ilvl w:val="0"/>
          <w:numId w:val="2"/>
        </w:numPr>
        <w:tabs>
          <w:tab w:val="clear" w:pos="720"/>
        </w:tabs>
        <w:ind w:hanging="720" w:start="1440" w:end="0"/>
        <w:jc w:val="both"/>
        <w:rPr/>
      </w:pPr>
      <w:r>
        <w:rPr/>
        <w:t xml:space="preserve">Sales of Goods, Services and Financial Products (negotiated, auctions (forward and reverse)), including present sales, forward contracts (sale of cash commodity for deferred delivery), future contracts (contract of sale of commodity for future delivery).  </w:t>
      </w:r>
      <w:r>
        <w:rPr>
          <w:i/>
          <w:iCs/>
        </w:rPr>
        <w:t>Futures contracts cannot be traded without registration with the CFTC  as a full-blown board of trade; however, if the new CFTC rulemaking proposals are adopted DealBench might trade futures contracts as a “Derivatives Transaction Facility” or “DTF.”  There are lots of reasons you might not want to do that.  Forward contracts are, in most cases, no problems, and swaps and options are, in most cases, not problems; however, I would think the Deal Manager would be responsible for determining whether those kinds of items could be traded legally.</w:t>
      </w:r>
    </w:p>
    <w:p>
      <w:pPr>
        <w:sectPr>
          <w:type w:val="nextPage"/>
          <w:pgSz w:w="12240" w:h="15840"/>
          <w:pgMar w:left="1080" w:right="1080" w:gutter="0" w:header="0" w:top="720" w:footer="0" w:bottom="720"/>
          <w:pgNumType w:fmt="decimal"/>
          <w:formProt w:val="false"/>
          <w:textDirection w:val="lrTb"/>
          <w:docGrid w:type="default" w:linePitch="360" w:charSpace="0"/>
        </w:sectPr>
        <w:pStyle w:val="Normal"/>
        <w:jc w:val="both"/>
        <w:rPr/>
      </w:pPr>
      <w:r>
        <w:rPr/>
      </w:r>
    </w:p>
    <w:p>
      <w:pPr>
        <w:pStyle w:val="Normal"/>
        <w:numPr>
          <w:ilvl w:val="0"/>
          <w:numId w:val="2"/>
        </w:numPr>
        <w:tabs>
          <w:tab w:val="clear" w:pos="720"/>
        </w:tabs>
        <w:ind w:hanging="720" w:start="2160" w:end="0"/>
        <w:jc w:val="both"/>
        <w:rPr/>
      </w:pPr>
      <w:r>
        <w:rPr/>
        <w:t>Goods – Is a security, real property or other regulated asset/transaction involved?</w:t>
      </w:r>
    </w:p>
    <w:p>
      <w:pPr>
        <w:pStyle w:val="Normal"/>
        <w:jc w:val="both"/>
        <w:rPr/>
      </w:pPr>
      <w:r>
        <w:rPr/>
      </w:r>
    </w:p>
    <w:p>
      <w:pPr>
        <w:pStyle w:val="Normal"/>
        <w:numPr>
          <w:ilvl w:val="3"/>
          <w:numId w:val="2"/>
        </w:numPr>
        <w:tabs>
          <w:tab w:val="clear" w:pos="720"/>
        </w:tabs>
        <w:ind w:hanging="0" w:start="2160" w:end="0"/>
        <w:jc w:val="both"/>
        <w:rPr/>
      </w:pPr>
      <w:r>
        <w:rPr/>
        <w:t>Hard goods, such as carpets, fixtures, computers</w:t>
      </w:r>
    </w:p>
    <w:p>
      <w:pPr>
        <w:pStyle w:val="Normal"/>
        <w:numPr>
          <w:ilvl w:val="3"/>
          <w:numId w:val="2"/>
        </w:numPr>
        <w:tabs>
          <w:tab w:val="clear" w:pos="720"/>
        </w:tabs>
        <w:ind w:hanging="720" w:start="2880" w:end="0"/>
        <w:jc w:val="both"/>
        <w:rPr/>
      </w:pPr>
      <w:r>
        <w:rPr/>
        <w:t>Resources (such as crude oil and natural gas, or interests therein)</w:t>
      </w:r>
    </w:p>
    <w:p>
      <w:pPr>
        <w:pStyle w:val="Normal"/>
        <w:ind w:start="2160" w:end="0"/>
        <w:jc w:val="both"/>
        <w:rPr>
          <w:i/>
          <w:i/>
          <w:iCs/>
        </w:rPr>
      </w:pPr>
      <w:r>
        <w:rPr>
          <w:i/>
          <w:iCs/>
        </w:rPr>
        <w:t>These items have to be looked at on an item-by-item basis, hopefully by the Deal Managers themselves, to determine whether they can be traded legally; for example, you may need a registration statement to trade a fractional undivided interest in oil and gas properties, or at least you need to make sure you have a valid private placement; any item can become “commoditized” so that if the contracts entered into through DealBench constitute “futures contracts” the the item that is the subject of the contract becomes a commodity for CFTC purposes. I think the best approach is to say “We’re furnishing the platform, and it is up to the Deal Managers to act legally.”</w:t>
      </w:r>
    </w:p>
    <w:p>
      <w:pPr>
        <w:pStyle w:val="Normal"/>
        <w:jc w:val="both"/>
        <w:rPr>
          <w:i/>
          <w:i/>
          <w:iCs/>
        </w:rPr>
      </w:pPr>
      <w:r>
        <w:rPr>
          <w:i/>
          <w:iCs/>
        </w:rPr>
      </w:r>
    </w:p>
    <w:p>
      <w:pPr>
        <w:pStyle w:val="Normal"/>
        <w:numPr>
          <w:ilvl w:val="0"/>
          <w:numId w:val="2"/>
        </w:numPr>
        <w:tabs>
          <w:tab w:val="clear" w:pos="720"/>
        </w:tabs>
        <w:ind w:hanging="720" w:start="2160" w:end="0"/>
        <w:jc w:val="both"/>
        <w:rPr/>
      </w:pPr>
      <w:r>
        <w:rPr/>
        <w:t>Financial Products (primary and secondary transactions, private placements, public offerings) – Is a security involved?</w:t>
      </w:r>
    </w:p>
    <w:p>
      <w:pPr>
        <w:pStyle w:val="Normal"/>
        <w:ind w:start="1440" w:end="0"/>
        <w:jc w:val="both"/>
        <w:rPr/>
      </w:pPr>
      <w:r>
        <w:rPr/>
      </w:r>
    </w:p>
    <w:p>
      <w:pPr>
        <w:pStyle w:val="Normal"/>
        <w:numPr>
          <w:ilvl w:val="3"/>
          <w:numId w:val="2"/>
        </w:numPr>
        <w:tabs>
          <w:tab w:val="clear" w:pos="720"/>
        </w:tabs>
        <w:ind w:hanging="720" w:start="2880" w:end="0"/>
        <w:jc w:val="both"/>
        <w:rPr/>
      </w:pPr>
      <w:r>
        <w:rPr/>
        <w:t>Debt (</w:t>
      </w:r>
      <w:r>
        <w:rPr>
          <w:i/>
          <w:iCs/>
        </w:rPr>
        <w:t xml:space="preserve">e.g., </w:t>
      </w:r>
      <w:r>
        <w:rPr/>
        <w:t>loans, loan syndications, bonds, commercial paper)</w:t>
      </w:r>
    </w:p>
    <w:p>
      <w:pPr>
        <w:pStyle w:val="Normal"/>
        <w:numPr>
          <w:ilvl w:val="3"/>
          <w:numId w:val="2"/>
        </w:numPr>
        <w:tabs>
          <w:tab w:val="clear" w:pos="720"/>
        </w:tabs>
        <w:ind w:hanging="720" w:start="2880" w:end="0"/>
        <w:jc w:val="both"/>
        <w:rPr/>
      </w:pPr>
      <w:r>
        <w:rPr/>
        <w:t>Equity (</w:t>
      </w:r>
      <w:r>
        <w:rPr>
          <w:i/>
          <w:iCs/>
        </w:rPr>
        <w:t xml:space="preserve">e.g., </w:t>
      </w:r>
      <w:r>
        <w:rPr/>
        <w:t>stock, partnership or limited liability company interests)</w:t>
      </w:r>
    </w:p>
    <w:p>
      <w:pPr>
        <w:pStyle w:val="Normal"/>
        <w:numPr>
          <w:ilvl w:val="3"/>
          <w:numId w:val="2"/>
        </w:numPr>
        <w:tabs>
          <w:tab w:val="clear" w:pos="720"/>
        </w:tabs>
        <w:ind w:hanging="0" w:start="2160" w:end="0"/>
        <w:jc w:val="both"/>
        <w:rPr/>
      </w:pPr>
      <w:r>
        <w:rPr/>
        <w:t>Lease Syndications</w:t>
      </w:r>
    </w:p>
    <w:p>
      <w:pPr>
        <w:pStyle w:val="Normal"/>
        <w:numPr>
          <w:ilvl w:val="3"/>
          <w:numId w:val="2"/>
        </w:numPr>
        <w:tabs>
          <w:tab w:val="clear" w:pos="720"/>
        </w:tabs>
        <w:ind w:hanging="0" w:start="2160" w:end="0"/>
        <w:jc w:val="both"/>
        <w:rPr/>
      </w:pPr>
      <w:r>
        <w:rPr/>
        <w:t>Swaps</w:t>
      </w:r>
    </w:p>
    <w:p>
      <w:pPr>
        <w:pStyle w:val="Normal"/>
        <w:numPr>
          <w:ilvl w:val="3"/>
          <w:numId w:val="2"/>
        </w:numPr>
        <w:tabs>
          <w:tab w:val="clear" w:pos="720"/>
        </w:tabs>
        <w:ind w:hanging="0" w:start="2160" w:end="0"/>
        <w:jc w:val="both"/>
        <w:rPr/>
      </w:pPr>
      <w:r>
        <w:rPr/>
        <w:t>Derivatives</w:t>
      </w:r>
    </w:p>
    <w:p>
      <w:pPr>
        <w:pStyle w:val="Normal"/>
        <w:numPr>
          <w:ilvl w:val="3"/>
          <w:numId w:val="2"/>
        </w:numPr>
        <w:tabs>
          <w:tab w:val="clear" w:pos="720"/>
        </w:tabs>
        <w:ind w:hanging="0" w:start="2160" w:end="0"/>
        <w:jc w:val="both"/>
        <w:rPr/>
      </w:pPr>
      <w:r>
        <w:rPr/>
        <w:t>Insurance</w:t>
      </w:r>
    </w:p>
    <w:p>
      <w:pPr>
        <w:pStyle w:val="Normal"/>
        <w:ind w:start="2160" w:end="0"/>
        <w:jc w:val="both"/>
        <w:rPr>
          <w:i/>
          <w:i/>
          <w:iCs/>
        </w:rPr>
      </w:pPr>
      <w:r>
        <w:rPr>
          <w:i/>
          <w:iCs/>
        </w:rPr>
        <w:t>Same answer as to the prior item, although obviously if insurance is involved there may be another regulatory agency that we need to think about.</w:t>
      </w:r>
    </w:p>
    <w:p>
      <w:pPr>
        <w:pStyle w:val="Normal"/>
        <w:jc w:val="both"/>
        <w:rPr>
          <w:i/>
          <w:i/>
          <w:iCs/>
        </w:rPr>
      </w:pPr>
      <w:r>
        <w:rPr>
          <w:i/>
          <w:iCs/>
        </w:rPr>
      </w:r>
    </w:p>
    <w:p>
      <w:pPr>
        <w:pStyle w:val="Normal"/>
        <w:numPr>
          <w:ilvl w:val="0"/>
          <w:numId w:val="2"/>
        </w:numPr>
        <w:tabs>
          <w:tab w:val="clear" w:pos="720"/>
        </w:tabs>
        <w:ind w:hanging="0" w:start="0" w:end="0"/>
        <w:jc w:val="both"/>
        <w:rPr/>
      </w:pPr>
      <w:r>
        <w:rPr>
          <w:b/>
          <w:bCs/>
        </w:rPr>
        <w:t>Nature of Participants</w:t>
      </w:r>
    </w:p>
    <w:p>
      <w:pPr>
        <w:pStyle w:val="Normal"/>
        <w:jc w:val="both"/>
        <w:rPr/>
      </w:pPr>
      <w:r>
        <w:rPr/>
      </w:r>
    </w:p>
    <w:p>
      <w:pPr>
        <w:pStyle w:val="Normal"/>
        <w:numPr>
          <w:ilvl w:val="0"/>
          <w:numId w:val="2"/>
        </w:numPr>
        <w:tabs>
          <w:tab w:val="clear" w:pos="720"/>
        </w:tabs>
        <w:ind w:hanging="0" w:start="720" w:end="0"/>
        <w:jc w:val="both"/>
        <w:rPr/>
      </w:pPr>
      <w:r>
        <w:rPr/>
        <w:t>Institutional investors</w:t>
      </w:r>
    </w:p>
    <w:p>
      <w:pPr>
        <w:pStyle w:val="Normal"/>
        <w:numPr>
          <w:ilvl w:val="0"/>
          <w:numId w:val="2"/>
        </w:numPr>
        <w:ind w:hanging="0" w:start="720" w:end="0"/>
        <w:jc w:val="both"/>
        <w:rPr/>
      </w:pPr>
      <w:r>
        <w:rPr/>
        <w:t>Accredited investors</w:t>
      </w:r>
    </w:p>
    <w:p>
      <w:pPr>
        <w:pStyle w:val="Normal"/>
        <w:numPr>
          <w:ilvl w:val="0"/>
          <w:numId w:val="2"/>
        </w:numPr>
        <w:ind w:hanging="0" w:start="720" w:end="0"/>
        <w:jc w:val="both"/>
        <w:rPr/>
      </w:pPr>
      <w:r>
        <w:rPr/>
        <w:t>Business buyers of goods or services other than financial goods or services</w:t>
      </w:r>
    </w:p>
    <w:p>
      <w:pPr>
        <w:pStyle w:val="Normal"/>
        <w:numPr>
          <w:ilvl w:val="0"/>
          <w:numId w:val="2"/>
        </w:numPr>
        <w:ind w:hanging="0" w:start="720" w:end="0"/>
        <w:jc w:val="both"/>
        <w:rPr/>
      </w:pPr>
      <w:r>
        <w:rPr/>
        <w:t>None of above</w:t>
      </w:r>
    </w:p>
    <w:p>
      <w:pPr>
        <w:pStyle w:val="Normal"/>
        <w:ind w:start="720" w:end="0"/>
        <w:jc w:val="both"/>
        <w:rPr>
          <w:i/>
          <w:i/>
          <w:iCs/>
        </w:rPr>
      </w:pPr>
      <w:r>
        <w:rPr>
          <w:i/>
          <w:iCs/>
        </w:rPr>
        <w:t>The nature of the participants depends on what is being auctioned.  If someone is doing a public offering by means of a registrations statement and prospectus, then any yokel can participate (assuming there are not broker-dealer issues and, if there are, the broker determines that the investment is suitable for  the yokel).  Otherwise, most of the deals will be with Qualified Institutional Buyers (Rule 144A), accredited investors (or institutional accredited investors) (Reg D or institutional private placements), producers, processors, users or merchants handling the commodity (trade option exemption), parties that have the capacity to make and take delivery of a commodity (energy contracts exemption or forward contract exclusion), or eligible swap participants (swaps).  What qualifications participants have will be quite deal-specific.</w:t>
      </w:r>
    </w:p>
    <w:p>
      <w:pPr>
        <w:pStyle w:val="Normal"/>
        <w:jc w:val="both"/>
        <w:rPr>
          <w:i/>
          <w:i/>
          <w:iCs/>
        </w:rPr>
      </w:pPr>
      <w:r>
        <w:rPr>
          <w:i/>
          <w:iCs/>
        </w:rPr>
      </w:r>
    </w:p>
    <w:p>
      <w:pPr>
        <w:pStyle w:val="Normal"/>
        <w:numPr>
          <w:ilvl w:val="0"/>
          <w:numId w:val="2"/>
        </w:numPr>
        <w:tabs>
          <w:tab w:val="clear" w:pos="720"/>
        </w:tabs>
        <w:ind w:hanging="0" w:start="0" w:end="0"/>
        <w:jc w:val="both"/>
        <w:rPr/>
      </w:pPr>
      <w:r>
        <w:rPr>
          <w:b/>
          <w:bCs/>
        </w:rPr>
        <w:t>Manner of Transaction</w:t>
      </w:r>
    </w:p>
    <w:p>
      <w:pPr>
        <w:pStyle w:val="Normal"/>
        <w:jc w:val="both"/>
        <w:rPr/>
      </w:pPr>
      <w:r>
        <w:rPr/>
      </w:r>
    </w:p>
    <w:p>
      <w:pPr>
        <w:pStyle w:val="Normal"/>
        <w:numPr>
          <w:ilvl w:val="0"/>
          <w:numId w:val="2"/>
        </w:numPr>
        <w:tabs>
          <w:tab w:val="clear" w:pos="720"/>
        </w:tabs>
        <w:ind w:hanging="0" w:start="720" w:end="0"/>
        <w:jc w:val="both"/>
        <w:rPr/>
      </w:pPr>
      <w:r>
        <w:rPr/>
        <w:t xml:space="preserve">Auction (forward/reverse) </w:t>
      </w:r>
    </w:p>
    <w:p>
      <w:pPr>
        <w:pStyle w:val="Normal"/>
        <w:numPr>
          <w:ilvl w:val="0"/>
          <w:numId w:val="2"/>
        </w:numPr>
        <w:ind w:hanging="0" w:start="720" w:end="0"/>
        <w:jc w:val="both"/>
        <w:rPr/>
      </w:pPr>
      <w:r>
        <w:rPr/>
        <w:t>Negotiated</w:t>
      </w:r>
    </w:p>
    <w:p>
      <w:pPr>
        <w:pStyle w:val="Normal"/>
        <w:numPr>
          <w:ilvl w:val="0"/>
          <w:numId w:val="2"/>
        </w:numPr>
        <w:ind w:hanging="0" w:start="720" w:end="0"/>
        <w:jc w:val="both"/>
        <w:rPr/>
      </w:pPr>
      <w:r>
        <w:rPr/>
        <w:t xml:space="preserve">Regular sale/purchase, </w:t>
      </w:r>
      <w:r>
        <w:rPr>
          <w:i/>
          <w:iCs/>
        </w:rPr>
        <w:t>e.g.</w:t>
      </w:r>
      <w:r>
        <w:rPr/>
        <w:t xml:space="preserve">, offer and sell good or service for specified price </w:t>
      </w:r>
    </w:p>
    <w:p>
      <w:pPr>
        <w:pStyle w:val="Normal"/>
        <w:numPr>
          <w:ilvl w:val="0"/>
          <w:numId w:val="2"/>
        </w:numPr>
        <w:tabs>
          <w:tab w:val="clear" w:pos="720"/>
        </w:tabs>
        <w:ind w:hanging="720" w:start="1440" w:end="0"/>
        <w:jc w:val="both"/>
        <w:rPr/>
      </w:pPr>
      <w:r>
        <w:rPr/>
        <w:t xml:space="preserve">Is acceptance or binding contract made, and/or closing done on or off DealBench site or is site used solely to negotiate transaction and/or as price discovery mechanism?  </w:t>
      </w:r>
      <w:r>
        <w:rPr>
          <w:i/>
          <w:iCs/>
        </w:rPr>
        <w:t xml:space="preserve">I think it will be very important that the deals are completed </w:t>
      </w:r>
      <w:r>
        <w:rPr>
          <w:i/>
          <w:iCs/>
          <w:u w:val="single"/>
        </w:rPr>
        <w:t>off</w:t>
      </w:r>
      <w:r>
        <w:rPr>
          <w:i/>
          <w:iCs/>
        </w:rPr>
        <w:t xml:space="preserve"> the system.  You don’t want the system to constitute a “multilateral transaction execution facility” if swaps are traded, and the bilateral nature of the contract helps with other commodities concepts as well (such as forward contracts)</w:t>
      </w:r>
    </w:p>
    <w:p>
      <w:pPr>
        <w:pStyle w:val="Normal"/>
        <w:numPr>
          <w:ilvl w:val="0"/>
          <w:numId w:val="2"/>
        </w:numPr>
        <w:tabs>
          <w:tab w:val="clear" w:pos="720"/>
        </w:tabs>
        <w:ind w:hanging="720" w:start="1440" w:end="0"/>
        <w:jc w:val="both"/>
        <w:rPr/>
      </w:pPr>
      <w:r>
        <w:rPr/>
        <w:t>Private placement (primary or secondary transaction)</w:t>
      </w:r>
    </w:p>
    <w:p>
      <w:pPr>
        <w:pStyle w:val="Normal"/>
        <w:numPr>
          <w:ilvl w:val="0"/>
          <w:numId w:val="2"/>
        </w:numPr>
        <w:tabs>
          <w:tab w:val="clear" w:pos="720"/>
        </w:tabs>
        <w:ind w:hanging="720" w:start="1440" w:end="0"/>
        <w:jc w:val="both"/>
        <w:rPr/>
      </w:pPr>
      <w:r>
        <w:rPr/>
        <w:t>Public offering (primary or secondary transaction)</w:t>
      </w:r>
    </w:p>
    <w:p>
      <w:pPr>
        <w:pStyle w:val="Normal"/>
        <w:ind w:start="720" w:end="0"/>
        <w:jc w:val="both"/>
        <w:rPr>
          <w:i/>
          <w:i/>
          <w:iCs/>
        </w:rPr>
      </w:pPr>
      <w:r>
        <w:rPr>
          <w:i/>
          <w:iCs/>
        </w:rPr>
        <w:t>I think each transaction must be conducted in a manner that is specific to the deal, so if, for example, a Deal Manager is doing a public offering the prospectus must be available, consent must be given, etc.; and if a Deal Manager is  doing a private offering there must be no general solicitation or advertising, the appropriate representations must be made, etc.</w:t>
      </w:r>
    </w:p>
    <w:p>
      <w:pPr>
        <w:pStyle w:val="Normal"/>
        <w:jc w:val="both"/>
        <w:rPr>
          <w:i/>
          <w:i/>
          <w:iCs/>
        </w:rPr>
      </w:pPr>
      <w:r>
        <w:rPr>
          <w:i/>
          <w:iCs/>
        </w:rPr>
      </w:r>
    </w:p>
    <w:p>
      <w:pPr>
        <w:pStyle w:val="Normal"/>
        <w:numPr>
          <w:ilvl w:val="0"/>
          <w:numId w:val="2"/>
        </w:numPr>
        <w:tabs>
          <w:tab w:val="clear" w:pos="720"/>
        </w:tabs>
        <w:ind w:hanging="0" w:start="0" w:end="0"/>
        <w:jc w:val="both"/>
        <w:rPr/>
      </w:pPr>
      <w:r>
        <w:rPr>
          <w:b/>
          <w:bCs/>
        </w:rPr>
        <w:t>DealBench Consideration</w:t>
      </w:r>
    </w:p>
    <w:p>
      <w:pPr>
        <w:pStyle w:val="Normal"/>
        <w:jc w:val="both"/>
        <w:rPr>
          <w:b/>
          <w:bCs/>
        </w:rPr>
      </w:pPr>
      <w:r>
        <w:rPr>
          <w:b/>
          <w:bCs/>
        </w:rPr>
      </w:r>
    </w:p>
    <w:p>
      <w:pPr>
        <w:pStyle w:val="Normal"/>
        <w:numPr>
          <w:ilvl w:val="0"/>
          <w:numId w:val="2"/>
        </w:numPr>
        <w:tabs>
          <w:tab w:val="clear" w:pos="720"/>
        </w:tabs>
        <w:ind w:hanging="0" w:start="720" w:end="0"/>
        <w:jc w:val="both"/>
        <w:rPr/>
      </w:pPr>
      <w:r>
        <w:rPr/>
        <w:t>Site License Fees based upon:</w:t>
      </w:r>
    </w:p>
    <w:p>
      <w:pPr>
        <w:pStyle w:val="Normal"/>
        <w:jc w:val="both"/>
        <w:rPr/>
      </w:pPr>
      <w:r>
        <w:rPr/>
      </w:r>
    </w:p>
    <w:p>
      <w:pPr>
        <w:pStyle w:val="Normal"/>
        <w:numPr>
          <w:ilvl w:val="3"/>
          <w:numId w:val="2"/>
        </w:numPr>
        <w:tabs>
          <w:tab w:val="clear" w:pos="720"/>
        </w:tabs>
        <w:ind w:hanging="0" w:start="1440" w:end="0"/>
        <w:jc w:val="both"/>
        <w:rPr/>
      </w:pPr>
      <w:r>
        <w:rPr/>
        <w:t>DealBench resources used (human and/or otherwise)</w:t>
      </w:r>
    </w:p>
    <w:p>
      <w:pPr>
        <w:pStyle w:val="Normal"/>
        <w:numPr>
          <w:ilvl w:val="3"/>
          <w:numId w:val="2"/>
        </w:numPr>
        <w:tabs>
          <w:tab w:val="clear" w:pos="720"/>
        </w:tabs>
        <w:ind w:hanging="0" w:start="1440" w:end="0"/>
        <w:jc w:val="both"/>
        <w:rPr/>
      </w:pPr>
      <w:r>
        <w:rPr/>
        <w:t>Deal success</w:t>
      </w:r>
    </w:p>
    <w:p>
      <w:pPr>
        <w:pStyle w:val="Normal"/>
        <w:numPr>
          <w:ilvl w:val="3"/>
          <w:numId w:val="2"/>
        </w:numPr>
        <w:tabs>
          <w:tab w:val="clear" w:pos="720"/>
        </w:tabs>
        <w:ind w:hanging="0" w:start="1440" w:end="0"/>
        <w:jc w:val="both"/>
        <w:rPr/>
      </w:pPr>
      <w:r>
        <w:rPr/>
        <w:t>Deal size</w:t>
      </w:r>
    </w:p>
    <w:p>
      <w:pPr>
        <w:pStyle w:val="Normal"/>
        <w:numPr>
          <w:ilvl w:val="3"/>
          <w:numId w:val="2"/>
        </w:numPr>
        <w:tabs>
          <w:tab w:val="clear" w:pos="720"/>
        </w:tabs>
        <w:ind w:hanging="0" w:start="1440" w:end="0"/>
        <w:jc w:val="both"/>
        <w:rPr/>
      </w:pPr>
      <w:r>
        <w:rPr/>
        <w:t>Deal type</w:t>
      </w:r>
    </w:p>
    <w:p>
      <w:pPr>
        <w:pStyle w:val="Normal"/>
        <w:numPr>
          <w:ilvl w:val="3"/>
          <w:numId w:val="2"/>
        </w:numPr>
        <w:tabs>
          <w:tab w:val="clear" w:pos="720"/>
        </w:tabs>
        <w:ind w:hanging="0" w:start="1440" w:end="0"/>
        <w:jc w:val="both"/>
        <w:rPr>
          <w:b/>
          <w:bCs/>
        </w:rPr>
      </w:pPr>
      <w:r>
        <w:rPr/>
        <w:t>Deal volume</w:t>
      </w:r>
      <w:r>
        <w:rPr>
          <w:b/>
          <w:bCs/>
        </w:rPr>
        <w:t xml:space="preserve"> </w:t>
      </w:r>
    </w:p>
    <w:p>
      <w:pPr>
        <w:pStyle w:val="Normal"/>
        <w:jc w:val="both"/>
        <w:rPr>
          <w:b/>
          <w:bCs/>
        </w:rPr>
      </w:pPr>
      <w:r>
        <w:rPr>
          <w:b/>
          <w:bCs/>
        </w:rPr>
      </w:r>
    </w:p>
    <w:p>
      <w:pPr>
        <w:pStyle w:val="Normal"/>
        <w:numPr>
          <w:ilvl w:val="0"/>
          <w:numId w:val="2"/>
        </w:numPr>
        <w:tabs>
          <w:tab w:val="clear" w:pos="720"/>
        </w:tabs>
        <w:ind w:hanging="0" w:start="720" w:end="0"/>
        <w:jc w:val="both"/>
        <w:rPr/>
      </w:pPr>
      <w:r>
        <w:rPr/>
        <w:t>Finder’s Fee (</w:t>
      </w:r>
      <w:r>
        <w:rPr>
          <w:i/>
          <w:iCs/>
        </w:rPr>
        <w:t>e.g.,</w:t>
      </w:r>
      <w:r>
        <w:rPr/>
        <w:t xml:space="preserve"> for activity described in second bullet point under Broker above)</w:t>
      </w:r>
    </w:p>
    <w:p>
      <w:pPr>
        <w:pStyle w:val="Normal"/>
        <w:ind w:start="720" w:end="0"/>
        <w:jc w:val="both"/>
        <w:rPr>
          <w:i/>
          <w:i/>
          <w:iCs/>
        </w:rPr>
      </w:pPr>
      <w:r>
        <w:rPr>
          <w:i/>
          <w:iCs/>
        </w:rPr>
        <w:t>Generally, commission-type consideration (i.e. a payment based on the size and success of the transaction) is the most problematical and, if DealBench is going to charge commissions it may be more difficult to get no action treatment in a given case.  But that may not be fatal.  For example, finders’ fees for securities transactions are structured like commissions, so the key issue in that case would be that DealBench merely introduces the parties and does not participate in negotiations or make recommendations as to whether a party should buy or sell a security.</w:t>
      </w:r>
    </w:p>
    <w:p>
      <w:pPr>
        <w:pStyle w:val="Normal"/>
        <w:jc w:val="both"/>
        <w:rPr>
          <w:i/>
          <w:i/>
          <w:iCs/>
        </w:rPr>
      </w:pPr>
      <w:r>
        <w:rPr>
          <w:i/>
          <w:iCs/>
        </w:rPr>
      </w:r>
    </w:p>
    <w:p>
      <w:pPr>
        <w:pStyle w:val="Normal"/>
        <w:numPr>
          <w:ilvl w:val="0"/>
          <w:numId w:val="2"/>
        </w:numPr>
        <w:tabs>
          <w:tab w:val="clear" w:pos="720"/>
        </w:tabs>
        <w:ind w:hanging="0" w:start="0" w:end="0"/>
        <w:jc w:val="both"/>
        <w:rPr/>
      </w:pPr>
      <w:r>
        <w:rPr>
          <w:b/>
          <w:bCs/>
        </w:rPr>
        <w:t>Provision of DealBench Auction Capability to EnronOnline</w:t>
      </w:r>
    </w:p>
    <w:p>
      <w:pPr>
        <w:pStyle w:val="Normal"/>
        <w:jc w:val="both"/>
        <w:rPr>
          <w:b/>
          <w:bCs/>
        </w:rPr>
      </w:pPr>
      <w:r>
        <w:rPr>
          <w:b/>
          <w:bCs/>
        </w:rPr>
      </w:r>
    </w:p>
    <w:p>
      <w:pPr>
        <w:pStyle w:val="Normal"/>
        <w:ind w:start="720" w:end="0"/>
        <w:jc w:val="both"/>
        <w:rPr>
          <w:b/>
          <w:bCs/>
          <w:i/>
          <w:i/>
          <w:iCs/>
        </w:rPr>
      </w:pPr>
      <w:r>
        <w:rPr>
          <w:b/>
          <w:bCs/>
          <w:i/>
          <w:iCs/>
        </w:rPr>
        <w:t>These issues include the things we discussed with Dean; we also need to talk to Mark Taylor about the issues surrounding what constitutes a “facility.”  However, if EnronOnline becomes a Deal Manager and if we can conclude that Enron Online’s use of DealBench doesn’t really change the way EnronOnline is doing things from a regulatory standpoint, then this should be ok.  We may be able to reach that conclusion.</w:t>
      </w:r>
    </w:p>
    <w:sectPr>
      <w:type w:val="nextPage"/>
      <w:pgSz w:w="12240" w:h="15840"/>
      <w:pgMar w:left="1080" w:right="108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720"/>
        </w:tabs>
        <w:ind w:start="2160" w:hanging="360"/>
      </w:pPr>
      <w:rPr>
        <w:rFonts w:ascii="Wingdings" w:hAnsi="Wingdings" w:cs="Wingdings" w:hint="default"/>
      </w:rPr>
    </w:lvl>
    <w:lvl w:ilvl="3">
      <w:start w:val="1"/>
      <w:numFmt w:val="bullet"/>
      <w:lvlText w:val="-"/>
      <w:lvlJc w:val="start"/>
      <w:pPr>
        <w:tabs>
          <w:tab w:val="num" w:pos="3240"/>
        </w:tabs>
        <w:ind w:start="3240" w:hanging="720"/>
      </w:pPr>
      <w:rPr>
        <w:rFonts w:ascii="Times New Roman" w:hAnsi="Times New Roman" w:cs="Times New Roman"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i/>
      <w:i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Times New Roman" w:hAnsi="Times New Roman" w:eastAsia="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2000-11-14T15:05:00Z</dcterms:created>
  <dc:creator>Ndobin</dc:creator>
  <dc:description/>
  <dc:language>en-CA</dc:language>
  <cp:lastModifiedBy>Vinson &amp; Elkins L.L.P.</cp:lastModifiedBy>
  <cp:lastPrinted>2000-11-14T10:51:00Z</cp:lastPrinted>
  <dcterms:modified xsi:type="dcterms:W3CDTF">2000-11-14T15:05:00Z</dcterms:modified>
  <cp:revision>2</cp:revision>
  <dc:subject/>
  <dc:title>DEALBENCH, LLC</dc:title>
</cp:coreProperties>
</file>