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spacing w:lineRule="atLeast" w:line="240"/>
        <w:jc w:val="both"/>
        <w:rPr/>
      </w:pPr>
      <w:r>
        <w:rPr>
          <w:b/>
          <w:bCs/>
          <w:spacing w:val="-3"/>
          <w:sz w:val="24"/>
          <w:szCs w:val="24"/>
          <w:u w:val="single"/>
        </w:rPr>
        <w:t>CONFIDENTIAL/ATTORNEY-CLIENT PRIVILEGE</w:t>
      </w:r>
      <w:r>
        <w:rPr>
          <w:spacing w:val="-3"/>
          <w:sz w:val="24"/>
          <w:szCs w:val="24"/>
        </w:rPr>
        <w:tab/>
        <w:t>Draft of 11/9/00</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b/>
          <w:bCs/>
          <w:spacing w:val="-3"/>
          <w:sz w:val="24"/>
          <w:szCs w:val="24"/>
          <w:u w:val="single"/>
        </w:rPr>
      </w:pPr>
      <w:r>
        <w:rPr>
          <w:b/>
          <w:bCs/>
          <w:spacing w:val="-3"/>
          <w:sz w:val="24"/>
          <w:szCs w:val="24"/>
          <w:u w:val="single"/>
        </w:rPr>
        <w:t>The Law</w:t>
      </w:r>
    </w:p>
    <w:p>
      <w:pPr>
        <w:pStyle w:val="Normal"/>
        <w:tabs>
          <w:tab w:val="clear" w:pos="720"/>
          <w:tab w:val="left" w:pos="0" w:leader="none"/>
        </w:tabs>
        <w:suppressAutoHyphens w:val="true"/>
        <w:spacing w:lineRule="atLeast" w:line="240"/>
        <w:jc w:val="both"/>
        <w:rPr>
          <w:b/>
          <w:bCs/>
          <w:spacing w:val="-3"/>
          <w:sz w:val="24"/>
          <w:szCs w:val="24"/>
          <w:u w:val="single"/>
        </w:rPr>
      </w:pPr>
      <w:r>
        <w:rPr>
          <w:b/>
          <w:bCs/>
          <w:spacing w:val="-3"/>
          <w:sz w:val="24"/>
          <w:szCs w:val="24"/>
          <w:u w:val="single"/>
        </w:rPr>
      </w:r>
    </w:p>
    <w:p>
      <w:pPr>
        <w:pStyle w:val="Normal"/>
        <w:tabs>
          <w:tab w:val="clear" w:pos="720"/>
          <w:tab w:val="left" w:pos="0" w:leader="none"/>
        </w:tabs>
        <w:suppressAutoHyphens w:val="true"/>
        <w:spacing w:lineRule="atLeast" w:line="240"/>
        <w:jc w:val="both"/>
        <w:rPr/>
      </w:pPr>
      <w:r>
        <w:rPr>
          <w:rFonts w:eastAsia="Symbol" w:cs="Symbol" w:ascii="Symbol" w:hAnsi="Symbol"/>
          <w:spacing w:val="-3"/>
          <w:sz w:val="24"/>
          <w:szCs w:val="24"/>
        </w:rPr>
        <w:sym w:font="Symbol" w:char="f0b7"/>
      </w:r>
      <w:r>
        <w:rPr>
          <w:spacing w:val="-3"/>
          <w:sz w:val="24"/>
          <w:szCs w:val="24"/>
        </w:rPr>
        <w:tab/>
        <w:t>It is unlawful for any broker to effect any transactions in any security unless such broker (a) is a member of the NASD, (b) effects transac</w:t>
        <w:softHyphen/>
        <w:t xml:space="preserve">tions in securities solely on a national securities exchange of which it is a member or (c) </w:t>
      </w:r>
      <w:r>
        <w:rPr>
          <w:spacing w:val="-3"/>
          <w:sz w:val="24"/>
        </w:rPr>
        <w:t xml:space="preserve">effects transactions only in exempted securities (e.g. government securities), commercial paper, bankers' acceptances or commercial bills.  </w:t>
      </w:r>
      <w:r>
        <w:rPr>
          <w:b/>
          <w:bCs/>
          <w:spacing w:val="-3"/>
          <w:sz w:val="24"/>
          <w:szCs w:val="24"/>
        </w:rPr>
        <w:tab/>
      </w:r>
    </w:p>
    <w:p>
      <w:pPr>
        <w:pStyle w:val="Normal"/>
        <w:tabs>
          <w:tab w:val="clear" w:pos="720"/>
          <w:tab w:val="left" w:pos="0" w:leader="none"/>
        </w:tabs>
        <w:suppressAutoHyphens w:val="true"/>
        <w:spacing w:lineRule="atLeast" w:line="240"/>
        <w:jc w:val="both"/>
        <w:rPr>
          <w:b/>
          <w:bCs/>
          <w:spacing w:val="-3"/>
          <w:sz w:val="24"/>
          <w:szCs w:val="24"/>
        </w:rPr>
      </w:pPr>
      <w:r>
        <w:rPr>
          <w:b/>
          <w:bCs/>
          <w:spacing w:val="-3"/>
          <w:sz w:val="24"/>
          <w:szCs w:val="24"/>
        </w:rPr>
      </w:r>
    </w:p>
    <w:p>
      <w:pPr>
        <w:pStyle w:val="Normal"/>
        <w:tabs>
          <w:tab w:val="clear" w:pos="720"/>
          <w:tab w:val="left" w:pos="0" w:leader="none"/>
        </w:tabs>
        <w:suppressAutoHyphens w:val="true"/>
        <w:spacing w:lineRule="atLeast" w:line="240"/>
        <w:jc w:val="both"/>
        <w:rPr/>
      </w:pPr>
      <w:r>
        <w:rPr>
          <w:rFonts w:eastAsia="Symbol" w:cs="Symbol" w:ascii="Symbol" w:hAnsi="Symbol"/>
          <w:spacing w:val="-3"/>
          <w:sz w:val="24"/>
          <w:szCs w:val="24"/>
        </w:rPr>
        <w:sym w:font="Symbol" w:char="f0b7"/>
      </w:r>
      <w:r>
        <w:rPr>
          <w:spacing w:val="-3"/>
          <w:sz w:val="24"/>
          <w:szCs w:val="24"/>
        </w:rPr>
        <w:tab/>
        <w:t>The term "broker" means any person engaged in the business of effecting transactions in securities for the account of others.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b/>
          <w:bCs/>
          <w:spacing w:val="-3"/>
          <w:sz w:val="24"/>
          <w:szCs w:val="24"/>
          <w:u w:val="single"/>
        </w:rPr>
      </w:pPr>
      <w:r>
        <w:rPr>
          <w:b/>
          <w:bCs/>
          <w:spacing w:val="-3"/>
          <w:sz w:val="24"/>
          <w:szCs w:val="24"/>
          <w:u w:val="single"/>
        </w:rPr>
        <w:t>SEC Staff’s Positions</w:t>
      </w:r>
    </w:p>
    <w:p>
      <w:pPr>
        <w:pStyle w:val="Normal"/>
        <w:tabs>
          <w:tab w:val="clear" w:pos="720"/>
          <w:tab w:val="left" w:pos="0" w:leader="none"/>
        </w:tabs>
        <w:suppressAutoHyphens w:val="true"/>
        <w:spacing w:lineRule="atLeast" w:line="240"/>
        <w:jc w:val="both"/>
        <w:rPr>
          <w:b/>
          <w:bCs/>
          <w:spacing w:val="-3"/>
          <w:sz w:val="24"/>
          <w:szCs w:val="24"/>
          <w:u w:val="single"/>
        </w:rPr>
      </w:pPr>
      <w:r>
        <w:rPr>
          <w:b/>
          <w:bCs/>
          <w:spacing w:val="-3"/>
          <w:sz w:val="24"/>
          <w:szCs w:val="24"/>
          <w:u w:val="single"/>
        </w:rPr>
      </w:r>
    </w:p>
    <w:p>
      <w:pPr>
        <w:pStyle w:val="Normal"/>
        <w:tabs>
          <w:tab w:val="clear" w:pos="720"/>
          <w:tab w:val="left" w:pos="0" w:leader="none"/>
        </w:tabs>
        <w:suppressAutoHyphens w:val="true"/>
        <w:spacing w:lineRule="atLeast" w:line="240"/>
        <w:jc w:val="both"/>
        <w:rPr/>
      </w:pPr>
      <w:r>
        <w:rPr>
          <w:rFonts w:eastAsia="Symbol" w:cs="Symbol" w:ascii="Symbol" w:hAnsi="Symbol"/>
          <w:spacing w:val="-3"/>
          <w:sz w:val="24"/>
          <w:szCs w:val="24"/>
        </w:rPr>
        <w:sym w:font="Symbol" w:char="f0b7"/>
      </w:r>
      <w:r>
        <w:rPr>
          <w:spacing w:val="-3"/>
          <w:sz w:val="24"/>
          <w:szCs w:val="24"/>
        </w:rPr>
        <w:tab/>
        <w:t xml:space="preserve">In the view of the SEC staff expressed in no action letters "the business of effecting transactions in securities" includes (a) involvement in negotiations for the sale of securities, (b) discussing details of the nature of the securities being sold with the purchaser or seller or making recommendations to the purchaser or seller, (c) being compensated on a commission basis linked to sales of securities and (d) being previously involved in sales of securities.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rFonts w:eastAsia="Symbol" w:cs="Symbol" w:ascii="Symbol" w:hAnsi="Symbol"/>
          <w:spacing w:val="-3"/>
          <w:sz w:val="24"/>
          <w:szCs w:val="24"/>
        </w:rPr>
        <w:sym w:font="Symbol" w:char="f0b7"/>
      </w:r>
      <w:r>
        <w:rPr>
          <w:spacing w:val="-3"/>
          <w:sz w:val="24"/>
          <w:szCs w:val="24"/>
        </w:rPr>
        <w:tab/>
        <w:t xml:space="preserve">Through a series of no-action letters, the SEC staff has indicated that in certain cases a person may engage in activities (c) and (d) without registration, as long as such person refrains from engaging in activities (a) and (b).   In such case the person is acting as a financial advisor, consultant or "finder" rather than a broker.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rFonts w:eastAsia="Symbol" w:cs="Symbol" w:ascii="Symbol" w:hAnsi="Symbol"/>
          <w:spacing w:val="-3"/>
          <w:sz w:val="24"/>
          <w:szCs w:val="24"/>
        </w:rPr>
        <w:sym w:font="Symbol" w:char="f0b7"/>
      </w:r>
      <w:r>
        <w:rPr>
          <w:spacing w:val="-3"/>
          <w:sz w:val="24"/>
          <w:szCs w:val="24"/>
        </w:rPr>
        <w:tab/>
        <w:t>The SEC staff has taken a very restrictive view of activities that can be engaged in without broker registration by a person or entity receiving compensation on a commission basis.  In a number of no action letter responses the SEC staff has indicated that a person or entity receiving a commission may do so without registration only if the recipient had no involvement in negotiations or discussions with the parties regarding the details of the transaction.</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rFonts w:eastAsia="Symbol" w:cs="Symbol" w:ascii="Symbol" w:hAnsi="Symbol"/>
          <w:spacing w:val="-3"/>
          <w:sz w:val="24"/>
          <w:szCs w:val="24"/>
        </w:rPr>
        <w:sym w:font="Symbol" w:char="f0b7"/>
      </w:r>
      <w:r>
        <w:rPr>
          <w:spacing w:val="-3"/>
          <w:sz w:val="24"/>
          <w:szCs w:val="24"/>
        </w:rPr>
        <w:tab/>
        <w:t xml:space="preserve">There is no exemption under federal law for brokers who engage exclusively in private placement transactions.  The SEC staff has refused to take a no action position based on the fact that the broker in question would confine its activities to private placements.  In </w:t>
      </w:r>
      <w:r>
        <w:rPr>
          <w:i/>
          <w:iCs/>
          <w:spacing w:val="-3"/>
          <w:sz w:val="24"/>
          <w:szCs w:val="24"/>
        </w:rPr>
        <w:t>Wertheim</w:t>
      </w:r>
      <w:r>
        <w:rPr>
          <w:spacing w:val="-3"/>
          <w:sz w:val="24"/>
          <w:szCs w:val="24"/>
        </w:rPr>
        <w:t xml:space="preserve"> (February 12, 1973), 72-73 CCH Fed.Sec.L.Rep.</w:t>
      </w:r>
      <w:r>
        <w:rPr>
          <w:rFonts w:cs="Courier New;Courier New" w:ascii="Courier New;Courier New" w:hAnsi="Courier New;Courier New"/>
          <w:spacing w:val="-3"/>
          <w:sz w:val="24"/>
          <w:szCs w:val="24"/>
        </w:rPr>
        <w:t xml:space="preserve"> ¶</w:t>
      </w:r>
      <w:r>
        <w:rPr>
          <w:spacing w:val="-3"/>
          <w:sz w:val="24"/>
          <w:szCs w:val="24"/>
        </w:rPr>
        <w:t xml:space="preserve">79,286, the SEC staff noted in its no action letter response that "a person who participates as a broker or dealer in a private placement would be required to register as such."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keepNext w:val="true"/>
        <w:keepLines/>
        <w:tabs>
          <w:tab w:val="clear" w:pos="720"/>
          <w:tab w:val="left" w:pos="0" w:leader="none"/>
        </w:tabs>
        <w:suppressAutoHyphens w:val="true"/>
        <w:spacing w:lineRule="atLeast" w:line="240"/>
        <w:jc w:val="both"/>
        <w:rPr>
          <w:spacing w:val="-3"/>
          <w:sz w:val="24"/>
          <w:szCs w:val="24"/>
        </w:rPr>
      </w:pPr>
      <w:r>
        <w:rPr>
          <w:b/>
          <w:bCs/>
          <w:spacing w:val="-3"/>
          <w:sz w:val="24"/>
          <w:szCs w:val="24"/>
          <w:u w:val="single"/>
        </w:rPr>
        <w:t>Examples of  Activities that Required Broker Registration</w:t>
      </w:r>
    </w:p>
    <w:p>
      <w:pPr>
        <w:pStyle w:val="Normal"/>
        <w:keepNext w:val="true"/>
        <w:keepLines/>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rFonts w:eastAsia="Symbol" w:cs="Symbol" w:ascii="Symbol" w:hAnsi="Symbol"/>
          <w:spacing w:val="-3"/>
          <w:sz w:val="24"/>
          <w:szCs w:val="24"/>
        </w:rPr>
        <w:sym w:font="Symbol" w:char="f0b7"/>
      </w:r>
      <w:r>
        <w:rPr>
          <w:spacing w:val="-3"/>
          <w:sz w:val="24"/>
          <w:szCs w:val="24"/>
        </w:rPr>
        <w:tab/>
        <w:t xml:space="preserve">ECT Securities Corp. arranged for the purchase of production payments by Cactus III and received "structuring fees" from the production payment sellers for performing its services.  A fee was payable only if the transaction closed, and the fee was often tied to the size of the transaction.  ECT Securities participated in the negotiation and the structuring of the transaction, dealing directly with both the producers and representatives of Cactus III.  </w:t>
      </w:r>
    </w:p>
    <w:p>
      <w:pPr>
        <w:pStyle w:val="Normal"/>
        <w:keepNext w:val="true"/>
        <w:keepLines/>
        <w:tabs>
          <w:tab w:val="clear" w:pos="720"/>
          <w:tab w:val="left" w:pos="0" w:leader="none"/>
        </w:tabs>
        <w:suppressAutoHyphens w:val="true"/>
        <w:spacing w:lineRule="atLeast" w:line="240"/>
        <w:jc w:val="both"/>
        <w:rPr/>
      </w:pPr>
      <w:r>
        <w:rPr>
          <w:rFonts w:eastAsia="Symbol" w:cs="Symbol" w:ascii="Symbol" w:hAnsi="Symbol"/>
          <w:spacing w:val="-3"/>
          <w:sz w:val="24"/>
          <w:szCs w:val="24"/>
        </w:rPr>
        <w:sym w:font="Symbol" w:char="f0b7"/>
      </w:r>
      <w:r>
        <w:rPr>
          <w:spacing w:val="-3"/>
          <w:sz w:val="24"/>
          <w:szCs w:val="24"/>
        </w:rPr>
        <w:tab/>
        <w:t xml:space="preserve">ECT Securities received structuring fees in connection with JEDI investments in securities.  Such a structuring fee was payable only if the transaction closed, and the fee was tied to the size of the transaction.  ECT Securities participated in the negotiation and the structuring of the transactions, dealing directly with both the sellers and representatives of JEDI.  </w:t>
      </w:r>
    </w:p>
    <w:p>
      <w:pPr>
        <w:pStyle w:val="Normal"/>
        <w:keepNext w:val="true"/>
        <w:keepLines/>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keepNext w:val="true"/>
        <w:keepLines/>
        <w:tabs>
          <w:tab w:val="clear" w:pos="720"/>
          <w:tab w:val="left" w:pos="0" w:leader="none"/>
        </w:tabs>
        <w:suppressAutoHyphens w:val="true"/>
        <w:spacing w:lineRule="atLeast" w:line="240"/>
        <w:jc w:val="both"/>
        <w:rPr/>
      </w:pPr>
      <w:r>
        <w:rPr>
          <w:rFonts w:eastAsia="Symbol" w:cs="Symbol" w:ascii="Symbol" w:hAnsi="Symbol"/>
          <w:spacing w:val="-3"/>
          <w:sz w:val="24"/>
          <w:szCs w:val="24"/>
        </w:rPr>
        <w:sym w:font="Symbol" w:char="f0b7"/>
      </w:r>
      <w:r>
        <w:rPr>
          <w:spacing w:val="-3"/>
          <w:sz w:val="24"/>
          <w:szCs w:val="24"/>
        </w:rPr>
        <w:tab/>
        <w:t xml:space="preserve">ECT Securities considered participating with other parties in an arrangement pursuant to which ECT Securities and other investors would purchase stock of a public company that was involved in bankruptcy proceedings.  The proceeds would be used to satisfy creditors, and the transaction would enable the company to emerge from bankruptcy.  It was contemplated that ECT Securities would receive fees for its services in structuring the transaction.  Since (a) the transaction would involve the sale of securities, (b) the services would be performed for others and (c) the fees would not be collected unless the transaction closed, ECT Securities was required to register as a broker in order to participate in such transaction.  </w:t>
      </w:r>
    </w:p>
    <w:p>
      <w:pPr>
        <w:pStyle w:val="Normal"/>
        <w:keepNext w:val="true"/>
        <w:keepLines/>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keepNext w:val="true"/>
        <w:keepLines/>
        <w:tabs>
          <w:tab w:val="clear" w:pos="720"/>
          <w:tab w:val="left" w:pos="0" w:leader="none"/>
        </w:tabs>
        <w:suppressAutoHyphens w:val="true"/>
        <w:spacing w:lineRule="atLeast" w:line="240"/>
        <w:jc w:val="both"/>
        <w:rPr/>
      </w:pPr>
      <w:r>
        <w:rPr>
          <w:rFonts w:eastAsia="Symbol" w:cs="Symbol" w:ascii="Symbol" w:hAnsi="Symbol"/>
          <w:spacing w:val="-3"/>
          <w:sz w:val="24"/>
          <w:szCs w:val="24"/>
        </w:rPr>
        <w:sym w:font="Symbol" w:char="f0b7"/>
      </w:r>
      <w:r>
        <w:rPr>
          <w:spacing w:val="-3"/>
          <w:sz w:val="24"/>
          <w:szCs w:val="24"/>
        </w:rPr>
        <w:tab/>
        <w:t>Enron and its affiliates have contemplated rendering other financial services that may require broker registration, including participation in underwriting syndicates and acting as a financial intermediary and financial adviser to companies desiring to raise capital.</w:t>
      </w:r>
      <w:r>
        <w:rPr>
          <w:rStyle w:val="FootnoteCharacters"/>
          <w:rStyle w:val="FootnoteReference"/>
          <w:spacing w:val="-3"/>
          <w:sz w:val="24"/>
          <w:szCs w:val="24"/>
        </w:rPr>
        <w:footnoteReference w:id="2"/>
      </w:r>
      <w:r>
        <w:rPr>
          <w:spacing w:val="-3"/>
          <w:sz w:val="24"/>
          <w:szCs w:val="24"/>
        </w:rPr>
        <w:t xml:space="preserve">   </w:t>
      </w:r>
    </w:p>
    <w:p>
      <w:pPr>
        <w:pStyle w:val="Normal"/>
        <w:keepNext w:val="true"/>
        <w:keepLines/>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keepNext w:val="true"/>
        <w:keepLines/>
        <w:tabs>
          <w:tab w:val="clear" w:pos="720"/>
          <w:tab w:val="left" w:pos="0" w:leader="none"/>
        </w:tabs>
        <w:suppressAutoHyphens w:val="true"/>
        <w:spacing w:lineRule="atLeast" w:line="240"/>
        <w:jc w:val="both"/>
        <w:rPr>
          <w:spacing w:val="-3"/>
          <w:sz w:val="24"/>
          <w:szCs w:val="24"/>
        </w:rPr>
      </w:pPr>
      <w:r>
        <w:rPr>
          <w:b/>
          <w:bCs/>
          <w:spacing w:val="-3"/>
          <w:sz w:val="24"/>
          <w:szCs w:val="24"/>
          <w:u w:val="single"/>
        </w:rPr>
        <w:t>Consequences of Noncompliance if Broker Registration is Required</w:t>
      </w:r>
    </w:p>
    <w:p>
      <w:pPr>
        <w:pStyle w:val="Normal"/>
        <w:keepNext w:val="true"/>
        <w:keepLines/>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keepNext w:val="true"/>
        <w:keepLines/>
        <w:tabs>
          <w:tab w:val="clear" w:pos="720"/>
          <w:tab w:val="left" w:pos="0" w:leader="none"/>
        </w:tabs>
        <w:suppressAutoHyphens w:val="true"/>
        <w:spacing w:lineRule="atLeast" w:line="240"/>
        <w:jc w:val="both"/>
        <w:rPr>
          <w:spacing w:val="-3"/>
          <w:sz w:val="24"/>
          <w:szCs w:val="24"/>
        </w:rPr>
      </w:pPr>
      <w:r>
        <w:rPr>
          <w:b/>
          <w:bCs/>
          <w:spacing w:val="-3"/>
          <w:sz w:val="24"/>
          <w:szCs w:val="24"/>
        </w:rPr>
        <w:tab/>
        <w:t xml:space="preserve">1. </w:t>
        <w:tab/>
        <w:t>Criminal Penalties</w:t>
      </w:r>
    </w:p>
    <w:p>
      <w:pPr>
        <w:pStyle w:val="Normal"/>
        <w:keepNext w:val="true"/>
        <w:keepLines/>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keepNext w:val="true"/>
        <w:keepLines/>
        <w:tabs>
          <w:tab w:val="clear" w:pos="720"/>
          <w:tab w:val="left" w:pos="0" w:leader="none"/>
        </w:tabs>
        <w:suppressAutoHyphens w:val="true"/>
        <w:spacing w:lineRule="atLeast" w:line="240"/>
        <w:jc w:val="both"/>
        <w:rPr>
          <w:spacing w:val="-3"/>
          <w:sz w:val="24"/>
          <w:szCs w:val="24"/>
        </w:rPr>
      </w:pPr>
      <w:r>
        <w:rPr>
          <w:spacing w:val="-3"/>
          <w:sz w:val="24"/>
          <w:szCs w:val="24"/>
        </w:rPr>
        <w:tab/>
        <w:t xml:space="preserve">Section 32 of the Exchange Act provides criminal sanctions for non-compliance with the broker registration provisions, consisting of: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left" w:pos="0" w:leader="none"/>
          <w:tab w:val="left" w:pos="720" w:leader="none"/>
          <w:tab w:val="left" w:pos="1440" w:leader="none"/>
        </w:tabs>
        <w:suppressAutoHyphens w:val="true"/>
        <w:spacing w:lineRule="atLeast" w:line="240"/>
        <w:ind w:hanging="2160" w:start="2160" w:end="0"/>
        <w:jc w:val="both"/>
        <w:rPr>
          <w:spacing w:val="-3"/>
          <w:sz w:val="24"/>
          <w:szCs w:val="24"/>
        </w:rPr>
      </w:pPr>
      <w:r>
        <w:rPr>
          <w:spacing w:val="-3"/>
          <w:sz w:val="24"/>
          <w:szCs w:val="24"/>
        </w:rPr>
        <w:tab/>
        <w:tab/>
        <w:t>a.</w:t>
        <w:tab/>
        <w:t>Fines of up to $1,000,000 for individuals or up to $2,500,000 for business entities; and/or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 xml:space="preserve">b. </w:t>
        <w:tab/>
        <w:t>Imprisonment of up to ten years.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 company can have direct liability if its employees act as unregistered brokers, and it can have liability for aiding and abetting a violation of securities laws if it engages a "finder" who acts as an unregistered broker.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b/>
          <w:bCs/>
          <w:spacing w:val="-3"/>
          <w:sz w:val="24"/>
          <w:szCs w:val="24"/>
        </w:rPr>
        <w:tab/>
        <w:t xml:space="preserve">2. </w:t>
        <w:tab/>
        <w:t>Injunction Proceedings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Under Section 21C of the Exchange Act, the SEC may bring actions enjoining activities by unregistered brokers.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r>
    </w:p>
    <w:p>
      <w:pPr>
        <w:pStyle w:val="Normal"/>
        <w:tabs>
          <w:tab w:val="clear" w:pos="720"/>
          <w:tab w:val="left" w:pos="0" w:leader="none"/>
        </w:tabs>
        <w:suppressAutoHyphens w:val="true"/>
        <w:spacing w:lineRule="atLeast" w:line="240"/>
        <w:jc w:val="both"/>
        <w:rPr>
          <w:spacing w:val="-3"/>
          <w:sz w:val="24"/>
          <w:szCs w:val="24"/>
        </w:rPr>
      </w:pPr>
      <w:r>
        <w:rPr>
          <w:b/>
          <w:bCs/>
          <w:spacing w:val="-3"/>
          <w:sz w:val="24"/>
          <w:szCs w:val="24"/>
        </w:rPr>
        <w:tab/>
        <w:t xml:space="preserve">3. </w:t>
        <w:tab/>
        <w:t>Attorney Disciplinary Proceedings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ab/>
        <w:t>Under Section 2(e) of the SEC's Rules of Practice (17 CFR Part 201), the SEC can bring a disciplinary proceeding against any attorney who willfully aids and abets the violation of any provision of the federal securities laws or the rules and regulations thereunder.</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b/>
          <w:bCs/>
          <w:spacing w:val="-3"/>
          <w:sz w:val="24"/>
          <w:szCs w:val="24"/>
        </w:rPr>
        <w:tab/>
        <w:t xml:space="preserve">4. </w:t>
        <w:tab/>
        <w:t>Possible Civil Claims</w:t>
      </w:r>
      <w:r>
        <w:rPr>
          <w:spacing w:val="-3"/>
          <w:sz w:val="24"/>
          <w:szCs w:val="24"/>
        </w:rPr>
        <w:t xml:space="preserve">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 xml:space="preserve">Although there are no implied private rights of action for violation of the broker registration provisions, the remedy of rescission may be available under Section 29(b) of the Exchange Act, which states that: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720"/>
        <w:jc w:val="both"/>
        <w:rPr>
          <w:spacing w:val="-3"/>
          <w:sz w:val="24"/>
          <w:szCs w:val="24"/>
        </w:rPr>
      </w:pPr>
      <w:r>
        <w:rPr>
          <w:spacing w:val="-3"/>
          <w:sz w:val="24"/>
          <w:szCs w:val="24"/>
        </w:rPr>
        <w:tab/>
        <w:t xml:space="preserve">every contract made in violation of any provision of this title . . . shall be void (1) as regard the rights of any person who, in violation of any such provision, rule or regulation, shall have made or engaged in the performance of any such contract and (2) as regard the rights of any person who, not being a party to such contract, shall have acquired any right thereunder with actual knowledge of the facts by reason of which the making or performance of such contract was in violation of any such provision, rule or regulation.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 xml:space="preserve">There are several cases in which courts have addressed the question of whether a contract made by an unregistered broker should be rescinded, based on Section 29(b).  Although the statute speaks in terms of contracts being "void," the courts have treated contracts as merely voidable and have stated that whether a contract is voided under Section 29(b) is an equitable remedy.  The United States Supreme Court, in </w:t>
      </w:r>
      <w:r>
        <w:rPr>
          <w:i/>
          <w:iCs/>
          <w:spacing w:val="-3"/>
          <w:sz w:val="24"/>
          <w:szCs w:val="24"/>
        </w:rPr>
        <w:t>Mills v. Electric Auto</w:t>
        <w:noBreakHyphen/>
        <w:t>Lite Company</w:t>
      </w:r>
      <w:r>
        <w:rPr>
          <w:spacing w:val="-3"/>
          <w:sz w:val="24"/>
          <w:szCs w:val="24"/>
        </w:rPr>
        <w:t>, 90 S. Ct. 616, at 623 (1970), referring to Section 29(a) stated:</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ind w:hanging="720" w:start="720" w:end="720"/>
        <w:jc w:val="both"/>
        <w:rPr>
          <w:spacing w:val="-3"/>
          <w:sz w:val="24"/>
          <w:szCs w:val="24"/>
        </w:rPr>
      </w:pPr>
      <w:r>
        <w:rPr>
          <w:spacing w:val="-3"/>
          <w:sz w:val="24"/>
          <w:szCs w:val="24"/>
        </w:rPr>
        <w:tab/>
        <w:t>This language establishes that the guilty party is precluded from enforcing the contract against an unwilling innocent party, but it does not compel the conclusion that the contract is void, creating no enforceable rights even in a party innocent of the violation.</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The case law under Section 29(b) indicates that there must be privity of contract between the plaintiff claiming rescission and the defendant who violated the broker regulations.  In connection with a claim for rescission under Section 29(b), monetary damages may be awarded in the event rescission is not practical.</w:t>
      </w:r>
      <w:r>
        <w:br w:type="page"/>
      </w:r>
    </w:p>
    <w:p>
      <w:pPr>
        <w:pStyle w:val="Normal"/>
        <w:tabs>
          <w:tab w:val="clear" w:pos="720"/>
          <w:tab w:val="left" w:pos="0" w:leader="none"/>
        </w:tabs>
        <w:suppressAutoHyphens w:val="true"/>
        <w:spacing w:lineRule="atLeast" w:line="240"/>
        <w:jc w:val="both"/>
        <w:rPr/>
      </w:pPr>
      <w:r>
        <w:rPr>
          <w:b/>
          <w:bCs/>
          <w:spacing w:val="-3"/>
          <w:sz w:val="24"/>
          <w:szCs w:val="24"/>
        </w:rPr>
        <w:tab/>
        <w:t xml:space="preserve">5.  </w:t>
        <w:tab/>
        <w:t>Denial of Registration</w:t>
      </w:r>
      <w:r>
        <w:rPr>
          <w:spacing w:val="-3"/>
          <w:sz w:val="24"/>
          <w:szCs w:val="24"/>
        </w:rPr>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 xml:space="preserve">Perhaps one of the most fearsome weapons the SEC staff has available is the ability to deny registration to a party seeking to register as a broker, based on prior activities of the applicant while unregistered.  On numerous occasions the SEC has denied brokers the right to register when it has discovered prior violations of the registration provisions or other provisions of federal securities laws.  If the SEC staff were to conclude that the activities previously conducted by an applicant required registration, it might refuse to permit registration.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b/>
          <w:bCs/>
          <w:spacing w:val="-3"/>
          <w:sz w:val="24"/>
          <w:szCs w:val="24"/>
          <w:u w:val="single"/>
        </w:rPr>
        <w:t>Alternatives for Dealing with Broker Issues</w:t>
      </w:r>
      <w:r>
        <w:rPr>
          <w:spacing w:val="-3"/>
          <w:sz w:val="24"/>
          <w:szCs w:val="24"/>
        </w:rPr>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b/>
          <w:bCs/>
          <w:spacing w:val="-3"/>
          <w:sz w:val="24"/>
          <w:szCs w:val="24"/>
        </w:rPr>
        <w:tab/>
        <w:t xml:space="preserve">1. </w:t>
        <w:tab/>
        <w:t xml:space="preserve">Changing the Way Enron and its Affiliates do Business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One simple solution would be to eliminate the structuring activities altogether (presumably relying on outside parties for structuring assistance when needed).</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keepNext w:val="true"/>
        <w:keepLines/>
        <w:tabs>
          <w:tab w:val="left" w:pos="0" w:leader="none"/>
          <w:tab w:val="left" w:pos="720" w:leader="none"/>
          <w:tab w:val="left" w:pos="1440" w:leader="none"/>
        </w:tabs>
        <w:suppressAutoHyphens w:val="true"/>
        <w:spacing w:lineRule="atLeast" w:line="240"/>
        <w:ind w:hanging="2160" w:start="2160" w:end="0"/>
        <w:jc w:val="both"/>
        <w:rPr>
          <w:spacing w:val="-3"/>
          <w:sz w:val="24"/>
          <w:szCs w:val="24"/>
        </w:rPr>
      </w:pPr>
      <w:r>
        <w:rPr>
          <w:b/>
          <w:bCs/>
          <w:spacing w:val="-3"/>
          <w:sz w:val="24"/>
          <w:szCs w:val="24"/>
        </w:rPr>
        <w:tab/>
        <w:t xml:space="preserve">2. </w:t>
        <w:tab/>
        <w:t>Restructure Purchases So They Do Not Involve Securities</w:t>
      </w:r>
    </w:p>
    <w:p>
      <w:pPr>
        <w:pStyle w:val="Normal"/>
        <w:keepNext w:val="true"/>
        <w:keepLines/>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keepLines/>
        <w:tabs>
          <w:tab w:val="clear" w:pos="720"/>
          <w:tab w:val="left" w:pos="0" w:leader="none"/>
        </w:tabs>
        <w:suppressAutoHyphens w:val="true"/>
        <w:spacing w:lineRule="atLeast" w:line="240"/>
        <w:jc w:val="both"/>
        <w:rPr>
          <w:spacing w:val="-3"/>
          <w:sz w:val="24"/>
          <w:szCs w:val="24"/>
        </w:rPr>
      </w:pPr>
      <w:r>
        <w:rPr>
          <w:spacing w:val="-3"/>
          <w:sz w:val="24"/>
          <w:szCs w:val="24"/>
        </w:rPr>
        <w:tab/>
        <w:t>Some transactions in which Enron or its affiliates may engage could be restructured so that no securities are involved.  For example, a stock acquisition might be restructured as a purchase of assets (consisting of real estate and personal property, but not securities).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b/>
          <w:bCs/>
          <w:spacing w:val="-3"/>
          <w:sz w:val="24"/>
          <w:szCs w:val="24"/>
        </w:rPr>
        <w:tab/>
        <w:t xml:space="preserve">3. </w:t>
        <w:tab/>
        <w:t>Eliminate Commission Payments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It might be possible to rearrange payments so that they are not tied to the success of transactions and not measured by the size of the transactions.  This would eliminate a key factor in broker characterization --- being compensated on a commission basis linked to sales.  This would not completely eliminate the risk of broker characterization if substantial activities were to consist of structuring and negotiating transactions involving securities.</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b/>
          <w:bCs/>
          <w:spacing w:val="-3"/>
          <w:sz w:val="24"/>
          <w:szCs w:val="24"/>
        </w:rPr>
        <w:tab/>
        <w:t xml:space="preserve">4. </w:t>
        <w:tab/>
        <w:t>Act Only as General Partner</w:t>
      </w:r>
      <w:r>
        <w:rPr>
          <w:spacing w:val="-3"/>
          <w:sz w:val="24"/>
          <w:szCs w:val="24"/>
        </w:rPr>
        <w:tab/>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pPr>
      <w:r>
        <w:rPr>
          <w:spacing w:val="-3"/>
          <w:sz w:val="24"/>
          <w:szCs w:val="24"/>
        </w:rPr>
        <w:tab/>
        <w:t>In the case of a partnership of which Enron or an affiliate is a general partner, the structuring activities could be conducted by the general partner on behalf of the partnership, with the partnership receiving the fees in the form of commitment fees or other reductions of the purchase prices for securities.  This solution should work if in fact the general partner has significant general partner responsibilities other than those involving transactions in securities and if the general partner receives no commissions or other form of transaction-based remuneration for its services.</w:t>
      </w:r>
      <w:r>
        <w:rPr>
          <w:rStyle w:val="FootnoteCharacters"/>
          <w:rStyle w:val="FootnoteReference"/>
          <w:spacing w:val="-3"/>
          <w:sz w:val="24"/>
          <w:szCs w:val="24"/>
        </w:rPr>
        <w:footnoteReference w:id="3"/>
      </w:r>
      <w:r>
        <w:rPr>
          <w:spacing w:val="-3"/>
          <w:sz w:val="24"/>
          <w:szCs w:val="24"/>
        </w:rPr>
        <w:t xml:space="preserve">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 xml:space="preserve">Of course, this restructuring to give the partnerships the fees (or reduced purchase prices) would have an adverse economic impact on Enron because it would not receive 100% of the benefit of the fees.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b/>
          <w:bCs/>
          <w:spacing w:val="-3"/>
          <w:sz w:val="24"/>
          <w:szCs w:val="24"/>
        </w:rPr>
        <w:tab/>
        <w:t xml:space="preserve">5. </w:t>
        <w:tab/>
        <w:t>Implement Finder's Fee Arrangement</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tab/>
        <w:t xml:space="preserve">It might be possible to limit the services provided by Enron business units so that they act only as finders and receives finders’ fees.  Finders’ fees are generally lower than brokerage commissions. </w:t>
      </w:r>
    </w:p>
    <w:p>
      <w:pPr>
        <w:pStyle w:val="Normal"/>
        <w:tabs>
          <w:tab w:val="clear" w:pos="720"/>
          <w:tab w:val="left" w:pos="0" w:leader="none"/>
        </w:tabs>
        <w:suppressAutoHyphens w:val="true"/>
        <w:spacing w:lineRule="atLeast" w:line="240"/>
        <w:jc w:val="both"/>
        <w:rPr>
          <w:spacing w:val="-3"/>
          <w:sz w:val="24"/>
          <w:szCs w:val="24"/>
        </w:rPr>
      </w:pPr>
      <w:r>
        <w:rPr>
          <w:spacing w:val="-3"/>
          <w:sz w:val="24"/>
          <w:szCs w:val="24"/>
        </w:rPr>
      </w:r>
    </w:p>
    <w:p>
      <w:pPr>
        <w:pStyle w:val="Normal"/>
        <w:tabs>
          <w:tab w:val="clear" w:pos="720"/>
          <w:tab w:val="left" w:pos="0" w:leader="none"/>
        </w:tabs>
        <w:suppressAutoHyphens w:val="true"/>
        <w:spacing w:lineRule="atLeast" w:line="240"/>
        <w:rPr>
          <w:sz w:val="24"/>
          <w:szCs w:val="24"/>
        </w:rPr>
      </w:pPr>
      <w:r>
        <w:rPr>
          <w:b/>
          <w:bCs/>
          <w:sz w:val="24"/>
          <w:szCs w:val="24"/>
          <w:u w:val="single"/>
        </w:rPr>
        <w:t>Investment Advisers Act of 1940</w:t>
      </w:r>
    </w:p>
    <w:p>
      <w:pPr>
        <w:pStyle w:val="Normal"/>
        <w:tabs>
          <w:tab w:val="clear" w:pos="720"/>
          <w:tab w:val="left" w:pos="0" w:leader="none"/>
        </w:tabs>
        <w:suppressAutoHyphens w:val="true"/>
        <w:spacing w:lineRule="atLeast" w:line="240"/>
        <w:rPr>
          <w:sz w:val="24"/>
          <w:szCs w:val="24"/>
        </w:rPr>
      </w:pPr>
      <w:r>
        <w:rPr>
          <w:sz w:val="24"/>
          <w:szCs w:val="24"/>
        </w:rPr>
      </w:r>
    </w:p>
    <w:p>
      <w:pPr>
        <w:pStyle w:val="Normal"/>
        <w:tabs>
          <w:tab w:val="clear" w:pos="720"/>
          <w:tab w:val="left" w:pos="0" w:leader="none"/>
        </w:tabs>
        <w:suppressAutoHyphens w:val="true"/>
        <w:spacing w:lineRule="atLeast" w:line="240"/>
        <w:rPr/>
      </w:pPr>
      <w:r>
        <w:rPr>
          <w:rFonts w:eastAsia="Symbol" w:cs="Symbol" w:ascii="Symbol" w:hAnsi="Symbol"/>
          <w:spacing w:val="-3"/>
          <w:sz w:val="24"/>
          <w:szCs w:val="24"/>
        </w:rPr>
        <w:sym w:font="Symbol" w:char="f0b7"/>
      </w:r>
      <w:r>
        <w:rPr>
          <w:spacing w:val="-3"/>
          <w:sz w:val="24"/>
          <w:szCs w:val="24"/>
        </w:rPr>
        <w:tab/>
      </w:r>
      <w:r>
        <w:rPr>
          <w:sz w:val="24"/>
          <w:szCs w:val="24"/>
        </w:rPr>
        <w:t xml:space="preserve">The Investment Advisers Act of 1940 requires investment advisers to register with the SEC unless exempt. </w:t>
      </w:r>
    </w:p>
    <w:p>
      <w:pPr>
        <w:pStyle w:val="Normal"/>
        <w:tabs>
          <w:tab w:val="clear" w:pos="720"/>
          <w:tab w:val="left" w:pos="0" w:leader="none"/>
        </w:tabs>
        <w:suppressAutoHyphens w:val="true"/>
        <w:spacing w:lineRule="atLeast" w:line="240"/>
        <w:rPr>
          <w:sz w:val="24"/>
          <w:szCs w:val="24"/>
        </w:rPr>
      </w:pPr>
      <w:r>
        <w:rPr>
          <w:sz w:val="24"/>
          <w:szCs w:val="24"/>
        </w:rPr>
      </w:r>
    </w:p>
    <w:p>
      <w:pPr>
        <w:pStyle w:val="Normal"/>
        <w:tabs>
          <w:tab w:val="clear" w:pos="720"/>
          <w:tab w:val="left" w:pos="0" w:leader="none"/>
        </w:tabs>
        <w:suppressAutoHyphens w:val="true"/>
        <w:spacing w:lineRule="atLeast" w:line="240"/>
        <w:rPr/>
      </w:pPr>
      <w:r>
        <w:rPr>
          <w:rFonts w:eastAsia="Symbol" w:cs="Symbol" w:ascii="Symbol" w:hAnsi="Symbol"/>
          <w:spacing w:val="-3"/>
          <w:sz w:val="24"/>
          <w:szCs w:val="24"/>
        </w:rPr>
        <w:sym w:font="Symbol" w:char="f0b7"/>
      </w:r>
      <w:r>
        <w:rPr>
          <w:spacing w:val="-3"/>
          <w:sz w:val="24"/>
          <w:szCs w:val="24"/>
        </w:rPr>
        <w:tab/>
      </w:r>
      <w:r>
        <w:rPr>
          <w:sz w:val="24"/>
          <w:szCs w:val="24"/>
        </w:rPr>
        <w:t xml:space="preserve">"Investment Adviser" is defined as "[A]ny person who, for compensation, engages in the business of advising others, either directly or through publications or writings, as to the value of securities or as to the advisability of investing in, purchasing, or selling securities, or who, for compensation and as part of a regular business, issues or promulgates analysis or reports concerning securities."  </w:t>
      </w:r>
    </w:p>
    <w:p>
      <w:pPr>
        <w:pStyle w:val="Normal"/>
        <w:tabs>
          <w:tab w:val="clear" w:pos="720"/>
          <w:tab w:val="left" w:pos="0" w:leader="none"/>
        </w:tabs>
        <w:suppressAutoHyphens w:val="true"/>
        <w:spacing w:lineRule="atLeast" w:line="240"/>
        <w:rPr>
          <w:sz w:val="24"/>
          <w:szCs w:val="24"/>
        </w:rPr>
      </w:pPr>
      <w:r>
        <w:rPr>
          <w:sz w:val="24"/>
          <w:szCs w:val="24"/>
        </w:rPr>
      </w:r>
    </w:p>
    <w:p>
      <w:pPr>
        <w:pStyle w:val="Normal"/>
        <w:tabs>
          <w:tab w:val="clear" w:pos="720"/>
          <w:tab w:val="left" w:pos="0" w:leader="none"/>
        </w:tabs>
        <w:suppressAutoHyphens w:val="true"/>
        <w:spacing w:lineRule="atLeast" w:line="240"/>
        <w:rPr/>
      </w:pPr>
      <w:r>
        <w:rPr>
          <w:rFonts w:eastAsia="Symbol" w:cs="Symbol" w:ascii="Symbol" w:hAnsi="Symbol"/>
          <w:spacing w:val="-3"/>
          <w:sz w:val="24"/>
          <w:szCs w:val="24"/>
        </w:rPr>
        <w:sym w:font="Symbol" w:char="f0b7"/>
      </w:r>
      <w:r>
        <w:rPr>
          <w:spacing w:val="-3"/>
          <w:sz w:val="24"/>
          <w:szCs w:val="24"/>
        </w:rPr>
        <w:tab/>
      </w:r>
      <w:r>
        <w:rPr>
          <w:sz w:val="24"/>
          <w:szCs w:val="24"/>
        </w:rPr>
        <w:t xml:space="preserve">There is an exemption for an advisor with fewer than 15 clients who does not hold himself out to the public as an investment advisor.   </w:t>
      </w:r>
    </w:p>
    <w:p>
      <w:pPr>
        <w:pStyle w:val="Normal"/>
        <w:tabs>
          <w:tab w:val="clear" w:pos="720"/>
          <w:tab w:val="left" w:pos="0" w:leader="none"/>
        </w:tabs>
        <w:suppressAutoHyphens w:val="true"/>
        <w:spacing w:lineRule="atLeast" w:line="240"/>
        <w:rPr>
          <w:sz w:val="24"/>
          <w:szCs w:val="24"/>
        </w:rPr>
      </w:pPr>
      <w:r>
        <w:rPr>
          <w:sz w:val="24"/>
          <w:szCs w:val="24"/>
        </w:rPr>
      </w:r>
    </w:p>
    <w:p>
      <w:pPr>
        <w:pStyle w:val="Normal"/>
        <w:tabs>
          <w:tab w:val="clear" w:pos="720"/>
          <w:tab w:val="left" w:pos="0" w:leader="none"/>
        </w:tabs>
        <w:suppressAutoHyphens w:val="true"/>
        <w:spacing w:lineRule="atLeast" w:line="240"/>
        <w:rPr/>
      </w:pPr>
      <w:r>
        <w:rPr>
          <w:rFonts w:eastAsia="Symbol" w:cs="Symbol" w:ascii="Symbol" w:hAnsi="Symbol"/>
          <w:spacing w:val="-3"/>
          <w:sz w:val="24"/>
          <w:szCs w:val="24"/>
        </w:rPr>
        <w:sym w:font="Symbol" w:char="f0b7"/>
      </w:r>
      <w:r>
        <w:rPr>
          <w:spacing w:val="-3"/>
          <w:sz w:val="24"/>
          <w:szCs w:val="24"/>
        </w:rPr>
        <w:tab/>
      </w:r>
      <w:r>
        <w:rPr>
          <w:sz w:val="24"/>
          <w:szCs w:val="24"/>
        </w:rPr>
        <w:t>A broker-dealer registered under the Exchange Act is exempt from registration under the Investment Advisers Act if its performance of investment advisory services is solely incidental to the conduct of its business as a broker or dealer and such broker-dealer receives no special compensation therefor.  Thus, registration as a broker may avoid the necessity of registering as an investment adviser.</w:t>
      </w:r>
    </w:p>
    <w:p>
      <w:pPr>
        <w:pStyle w:val="Normal"/>
        <w:tabs>
          <w:tab w:val="clear" w:pos="720"/>
          <w:tab w:val="left" w:pos="0" w:leader="none"/>
        </w:tabs>
        <w:suppressAutoHyphens w:val="true"/>
        <w:spacing w:lineRule="atLeast" w:line="240"/>
        <w:rPr>
          <w:sz w:val="24"/>
          <w:szCs w:val="24"/>
        </w:rPr>
      </w:pPr>
      <w:r>
        <w:rPr>
          <w:sz w:val="24"/>
          <w:szCs w:val="24"/>
        </w:rPr>
      </w:r>
    </w:p>
    <w:p>
      <w:pPr>
        <w:pStyle w:val="Normal"/>
        <w:tabs>
          <w:tab w:val="clear" w:pos="720"/>
          <w:tab w:val="left" w:pos="0" w:leader="none"/>
        </w:tabs>
        <w:suppressAutoHyphens w:val="true"/>
        <w:spacing w:lineRule="atLeast" w:line="240"/>
        <w:rPr>
          <w:sz w:val="24"/>
          <w:szCs w:val="24"/>
        </w:rPr>
      </w:pPr>
      <w:r>
        <w:rPr>
          <w:sz w:val="24"/>
          <w:szCs w:val="24"/>
        </w:rPr>
      </w:r>
    </w:p>
    <w:sectPr>
      <w:footerReference w:type="default" r:id="rId2"/>
      <w:footnotePr>
        <w:numFmt w:val="decimal"/>
      </w:footnotePr>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428" w:after="0"/>
      <w:rPr>
        <w:sz w:val="10"/>
        <w:szCs w:val="10"/>
      </w:rPr>
    </w:pPr>
    <w:r>
      <w:rPr>
        <w:sz w:val="10"/>
        <w:szCs w:val="10"/>
      </w:rPr>
    </w:r>
  </w:p>
  <w:p>
    <w:pPr>
      <w:pStyle w:val="Normal"/>
      <w:tabs>
        <w:tab w:val="clear" w:pos="720"/>
        <w:tab w:val="left" w:pos="0" w:leader="none"/>
      </w:tabs>
      <w:suppressAutoHyphens w:val="true"/>
      <w:spacing w:lineRule="atLeast" w:line="240"/>
      <w:jc w:val="both"/>
      <w:rPr>
        <w:spacing w:val="-2"/>
        <w:sz w:val="10"/>
        <w:szCs w:val="10"/>
      </w:rPr>
    </w:pPr>
    <w:r>
      <w:rPr>
        <w:spacing w:val="-2"/>
        <w:sz w:val="10"/>
        <w:szCs w:val="10"/>
      </w:rPr>
    </w:r>
  </w:p>
  <w:p>
    <w:pPr>
      <w:pStyle w:val="Normal"/>
      <w:tabs>
        <w:tab w:val="clear" w:pos="720"/>
        <w:tab w:val="left" w:pos="0" w:leader="none"/>
      </w:tabs>
      <w:suppressAutoHyphens w:val="true"/>
      <w:spacing w:lineRule="atLeast" w:line="240"/>
      <w:rPr>
        <w:spacing w:val="-2"/>
        <w:sz w:val="24"/>
        <w:szCs w:val="24"/>
        <w:lang w:val="en-CA" w:eastAsia="en-CA"/>
      </w:rPr>
    </w:pPr>
    <w:r>
      <w:rPr>
        <w:spacing w:val="-2"/>
        <w:sz w:val="24"/>
        <w:szCs w:val="24"/>
        <w:lang w:val="en-CA" w:eastAsia="en-CA"/>
      </w:rPr>
    </w:r>
    <w:r>
      <mc:AlternateContent>
        <mc:Choice Requires="wps">
          <w:drawing>
            <wp:anchor behindDoc="1" distT="0" distB="0" distL="114935" distR="114935" simplePos="0" locked="0" layoutInCell="0" allowOverlap="1" relativeHeight="6">
              <wp:simplePos x="0" y="0"/>
              <wp:positionH relativeFrom="margin">
                <wp:posOffset>-857250</wp:posOffset>
              </wp:positionH>
              <wp:positionV relativeFrom="paragraph">
                <wp:posOffset>152400</wp:posOffset>
              </wp:positionV>
              <wp:extent cx="5867400" cy="152400"/>
              <wp:effectExtent l="0" t="0" r="0" b="0"/>
              <wp:wrapNone/>
              <wp:docPr id="1" name="Frame1"/>
              <a:graphic xmlns:a="http://schemas.openxmlformats.org/drawingml/2006/main">
                <a:graphicData uri="http://schemas.microsoft.com/office/word/2010/wordprocessingShape">
                  <wps:wsp>
                    <wps:cNvSpPr txBox="1"/>
                    <wps:spPr>
                      <a:xfrm>
                        <a:off x="0" y="0"/>
                        <a:ext cx="5867400" cy="152400"/>
                      </a:xfrm>
                      <a:prstGeom prst="rect"/>
                      <a:solidFill>
                        <a:srgbClr val="FFFFFF">
                          <a:alpha val="0"/>
                        </a:srgbClr>
                      </a:solidFill>
                    </wps:spPr>
                    <wps:txbx>
                      <w:txbxContent>
                        <w:p>
                          <w:pPr>
                            <w:pStyle w:val="Normal"/>
                            <w:tabs>
                              <w:tab w:val="clear" w:pos="720"/>
                              <w:tab w:val="center" w:pos="4620" w:leader="none"/>
                            </w:tabs>
                            <w:suppressAutoHyphens w:val="true"/>
                            <w:spacing w:lineRule="atLeast" w:line="240"/>
                            <w:jc w:val="both"/>
                            <w:rPr/>
                          </w:pPr>
                          <w:r>
                            <w:rPr>
                              <w:spacing w:val="-3"/>
                              <w:sz w:val="24"/>
                              <w:szCs w:val="24"/>
                            </w:rPr>
                            <w:tab/>
                            <w:noBreakHyphen/>
                          </w:r>
                          <w:r>
                            <w:rPr>
                              <w:spacing w:val="-3"/>
                              <w:sz w:val="24"/>
                              <w:szCs w:val="24"/>
                            </w:rPr>
                            <w:fldChar w:fldCharType="begin"/>
                          </w:r>
                          <w:r>
                            <w:rPr>
                              <w:sz w:val="24"/>
                              <w:spacing w:val="-3"/>
                              <w:szCs w:val="24"/>
                            </w:rPr>
                            <w:instrText xml:space="preserve"> PAGE \* ARABIC </w:instrText>
                          </w:r>
                          <w:r>
                            <w:rPr>
                              <w:sz w:val="24"/>
                              <w:spacing w:val="-3"/>
                              <w:szCs w:val="24"/>
                            </w:rPr>
                            <w:fldChar w:fldCharType="separate"/>
                          </w:r>
                          <w:r>
                            <w:rPr>
                              <w:sz w:val="24"/>
                              <w:spacing w:val="-3"/>
                              <w:szCs w:val="24"/>
                            </w:rPr>
                            <w:t>5</w:t>
                          </w:r>
                          <w:r>
                            <w:rPr>
                              <w:sz w:val="24"/>
                              <w:spacing w:val="-3"/>
                              <w:szCs w:val="24"/>
                            </w:rPr>
                            <w:fldChar w:fldCharType="end"/>
                          </w:r>
                          <w:r>
                            <w:rPr>
                              <w:spacing w:val="-3"/>
                              <w:sz w:val="24"/>
                              <w:szCs w:val="24"/>
                            </w:rPr>
                            <w:noBreakHyphen/>
                          </w:r>
                        </w:p>
                      </w:txbxContent>
                    </wps:txbx>
                    <wps:bodyPr anchor="t" lIns="635" tIns="635" rIns="635" bIns="635">
                      <a:noAutofit/>
                    </wps:bodyPr>
                  </wps:wsp>
                </a:graphicData>
              </a:graphic>
            </wp:anchor>
          </w:drawing>
        </mc:Choice>
        <mc:Fallback>
          <w:pict>
            <v:rect fillcolor="#FFFFFF" style="position:absolute;rotation:-0;width:462pt;height:12pt;mso-wrap-distance-left:9.05pt;mso-wrap-distance-right:9.05pt;mso-wrap-distance-top:0pt;mso-wrap-distance-bottom:0pt;margin-top:12pt;mso-position-vertical-relative:text;margin-left:-67.5pt;mso-position-horizontal-relative:margin">
              <v:fill opacity="0f"/>
              <v:textbox inset="0.000694444444444445in,0.000694444444444445in,0.000694444444444445in,0.000694444444444445in">
                <w:txbxContent>
                  <w:p>
                    <w:pPr>
                      <w:pStyle w:val="Normal"/>
                      <w:tabs>
                        <w:tab w:val="clear" w:pos="720"/>
                        <w:tab w:val="center" w:pos="4620" w:leader="none"/>
                      </w:tabs>
                      <w:suppressAutoHyphens w:val="true"/>
                      <w:spacing w:lineRule="atLeast" w:line="240"/>
                      <w:jc w:val="both"/>
                      <w:rPr/>
                    </w:pPr>
                    <w:r>
                      <w:rPr>
                        <w:spacing w:val="-3"/>
                        <w:sz w:val="24"/>
                        <w:szCs w:val="24"/>
                      </w:rPr>
                      <w:tab/>
                      <w:noBreakHyphen/>
                    </w:r>
                    <w:r>
                      <w:rPr>
                        <w:spacing w:val="-3"/>
                        <w:sz w:val="24"/>
                        <w:szCs w:val="24"/>
                      </w:rPr>
                      <w:fldChar w:fldCharType="begin"/>
                    </w:r>
                    <w:r>
                      <w:rPr>
                        <w:sz w:val="24"/>
                        <w:spacing w:val="-3"/>
                        <w:szCs w:val="24"/>
                      </w:rPr>
                      <w:instrText xml:space="preserve"> PAGE \* ARABIC </w:instrText>
                    </w:r>
                    <w:r>
                      <w:rPr>
                        <w:sz w:val="24"/>
                        <w:spacing w:val="-3"/>
                        <w:szCs w:val="24"/>
                      </w:rPr>
                      <w:fldChar w:fldCharType="separate"/>
                    </w:r>
                    <w:r>
                      <w:rPr>
                        <w:sz w:val="24"/>
                        <w:spacing w:val="-3"/>
                        <w:szCs w:val="24"/>
                      </w:rPr>
                      <w:t>5</w:t>
                    </w:r>
                    <w:r>
                      <w:rPr>
                        <w:sz w:val="24"/>
                        <w:spacing w:val="-3"/>
                        <w:szCs w:val="24"/>
                      </w:rPr>
                      <w:fldChar w:fldCharType="end"/>
                    </w:r>
                    <w:r>
                      <w:rPr>
                        <w:spacing w:val="-3"/>
                        <w:sz w:val="24"/>
                        <w:szCs w:val="24"/>
                      </w:rPr>
                      <w:noBreakHyphen/>
                    </w:r>
                  </w:p>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tabs>
          <w:tab w:val="clear" w:pos="720"/>
          <w:tab w:val="left" w:pos="-720" w:leader="none"/>
        </w:tabs>
        <w:suppressAutoHyphens w:val="true"/>
        <w:spacing w:lineRule="atLeast" w:line="240"/>
        <w:jc w:val="both"/>
        <w:rPr/>
      </w:pPr>
      <w:r>
        <w:rPr>
          <w:rStyle w:val="FootnoteCharacters"/>
        </w:rPr>
        <w:footnoteRef/>
      </w:r>
      <w:r>
        <w:rPr>
          <w:spacing w:val="-3"/>
          <w:sz w:val="24"/>
          <w:vertAlign w:val="superscript"/>
        </w:rPr>
        <w:t>    </w:t>
      </w:r>
      <w:r>
        <w:rPr>
          <w:rStyle w:val="FootnoteCharacters"/>
          <w:spacing w:val="-3"/>
          <w:sz w:val="24"/>
        </w:rPr>
        <w:t>?</w:t>
      </w:r>
      <w:r>
        <w:rPr>
          <w:spacing w:val="-3"/>
          <w:sz w:val="24"/>
        </w:rPr>
        <w:t xml:space="preserve">In </w:t>
      </w:r>
      <w:r>
        <w:rPr>
          <w:i/>
          <w:iCs/>
          <w:spacing w:val="-3"/>
          <w:sz w:val="24"/>
        </w:rPr>
        <w:t>Fulham &amp; Co., Inc.</w:t>
      </w:r>
      <w:r>
        <w:rPr>
          <w:spacing w:val="-3"/>
          <w:sz w:val="24"/>
        </w:rPr>
        <w:t xml:space="preserve"> 72-73 CCH Fed.Sec.L.Rep.</w:t>
      </w:r>
      <w:r>
        <w:rPr>
          <w:rFonts w:cs="Courier New;Courier New" w:ascii="Courier New;Courier New" w:hAnsi="Courier New;Courier New"/>
          <w:spacing w:val="-3"/>
          <w:sz w:val="24"/>
        </w:rPr>
        <w:t xml:space="preserve"> ¶</w:t>
      </w:r>
      <w:r>
        <w:rPr>
          <w:spacing w:val="-3"/>
          <w:sz w:val="24"/>
        </w:rPr>
        <w:t>79,186, the SEC staff denied a no action request by a "private investment banking firm that acts principally as a financial intermediary for companies wishing to raise venture capital and permanent financing."   The no action letter correspondence indicated that the company would arrange the structure of the offering and in some cases negotiate on behalf of the issuer.  For its services, the company would be paid a fee by the issuer, normally based on the percentage of the amount of capital or debt subscribed for by the purchaser.  The company would also act as a financial consultant with respect to mergers and sales of assets.  The SEC staff stated that "it is our view that the Company's activities, including among other things its proposed participation in negotiations with respect to merger transactions, would require registration as a broker under the Securities Exchange Act of 1934."</w:t>
      </w:r>
    </w:p>
  </w:footnote>
  <w:footnote w:id="3">
    <w:p>
      <w:pPr>
        <w:pStyle w:val="FootnoteText"/>
        <w:tabs>
          <w:tab w:val="clear" w:pos="720"/>
          <w:tab w:val="left" w:pos="-720" w:leader="none"/>
        </w:tabs>
        <w:suppressAutoHyphens w:val="true"/>
        <w:spacing w:lineRule="atLeast" w:line="240"/>
        <w:jc w:val="both"/>
        <w:rPr/>
      </w:pPr>
      <w:r>
        <w:rPr>
          <w:rStyle w:val="FootnoteCharacters"/>
        </w:rPr>
        <w:footnoteRef/>
      </w:r>
      <w:r>
        <w:rPr>
          <w:sz w:val="24"/>
          <w:vertAlign w:val="superscript"/>
        </w:rPr>
        <w:t>    </w:t>
      </w:r>
      <w:r>
        <w:rPr>
          <w:rStyle w:val="FootnoteCharacters"/>
          <w:spacing w:val="-3"/>
          <w:sz w:val="24"/>
        </w:rPr>
        <w:t>?</w:t>
      </w:r>
      <w:r>
        <w:rPr>
          <w:sz w:val="24"/>
        </w:rPr>
        <w:t xml:space="preserve">The no action letter correspondence in </w:t>
      </w:r>
      <w:r>
        <w:rPr>
          <w:i/>
          <w:iCs/>
          <w:sz w:val="24"/>
        </w:rPr>
        <w:t>Davenport Management, Inc.</w:t>
      </w:r>
      <w:r>
        <w:rPr>
          <w:sz w:val="24"/>
        </w:rPr>
        <w:t xml:space="preserve"> as well as the no action letter correspondence in </w:t>
      </w:r>
      <w:r>
        <w:rPr>
          <w:i/>
          <w:iCs/>
          <w:sz w:val="24"/>
        </w:rPr>
        <w:t>Heritage Financial Corporation</w:t>
      </w:r>
      <w:r>
        <w:rPr>
          <w:sz w:val="24"/>
        </w:rPr>
        <w:t xml:space="preserve"> and </w:t>
      </w:r>
      <w:r>
        <w:rPr>
          <w:i/>
          <w:iCs/>
          <w:sz w:val="24"/>
        </w:rPr>
        <w:t>Dominion Resources, Inc.</w:t>
      </w:r>
      <w:r>
        <w:rPr>
          <w:sz w:val="24"/>
        </w:rPr>
        <w:t>, support the notion that a general partner may negotiate and structure purchases and sales of securities on behalf of an investment partnership without thereby becoming subject to the broker registration requirements.</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Cs w:val="24"/>
    </w:rPr>
  </w:style>
  <w:style w:type="paragraph" w:styleId="Index">
    <w:name w:val="Index"/>
    <w:basedOn w:val="Normal"/>
    <w:qFormat/>
    <w:pPr>
      <w:suppressLineNumbers/>
    </w:pPr>
    <w:rPr>
      <w:rFonts w:cs="NotoSans NF"/>
    </w:rPr>
  </w:style>
  <w:style w:type="paragraph" w:styleId="EndnoteText">
    <w:name w:val="endnote text"/>
    <w:basedOn w:val="Normal"/>
    <w:pPr/>
    <w:rPr>
      <w:szCs w:val="24"/>
    </w:rPr>
  </w:style>
  <w:style w:type="paragraph" w:styleId="FootnoteText">
    <w:name w:val="footnote text"/>
    <w:basedOn w:val="Normal"/>
    <w:pPr/>
    <w:rPr>
      <w:szCs w:val="24"/>
    </w:rPr>
  </w:style>
  <w:style w:type="paragraph" w:styleId="TOC1">
    <w:name w:val="toc 1"/>
    <w:basedOn w:val="Normal"/>
    <w:next w:val="Normal"/>
    <w:pPr>
      <w:tabs>
        <w:tab w:val="clear" w:pos="720"/>
        <w:tab w:val="right" w:pos="9360" w:leader="dot"/>
      </w:tabs>
      <w:suppressAutoHyphens w:val="true"/>
      <w:spacing w:lineRule="atLeast" w:line="240" w:before="480" w:after="0"/>
      <w:ind w:hanging="720" w:start="720" w:end="720"/>
    </w:pPr>
    <w:rPr/>
  </w:style>
  <w:style w:type="paragraph" w:styleId="TOC2">
    <w:name w:val="toc 2"/>
    <w:basedOn w:val="Normal"/>
    <w:next w:val="Normal"/>
    <w:pPr>
      <w:tabs>
        <w:tab w:val="clear" w:pos="720"/>
        <w:tab w:val="right" w:pos="9360" w:leader="dot"/>
      </w:tabs>
      <w:suppressAutoHyphens w:val="true"/>
      <w:spacing w:lineRule="atLeast" w:line="240"/>
      <w:ind w:hanging="720" w:start="1440" w:end="720"/>
    </w:pPr>
    <w:rPr/>
  </w:style>
  <w:style w:type="paragraph" w:styleId="TOC3">
    <w:name w:val="toc 3"/>
    <w:basedOn w:val="Normal"/>
    <w:next w:val="Normal"/>
    <w:pPr>
      <w:tabs>
        <w:tab w:val="clear" w:pos="720"/>
        <w:tab w:val="right" w:pos="9360" w:leader="dot"/>
      </w:tabs>
      <w:suppressAutoHyphens w:val="true"/>
      <w:spacing w:lineRule="atLeast" w:line="240"/>
      <w:ind w:hanging="720" w:start="2160" w:end="720"/>
    </w:pPr>
    <w:rPr/>
  </w:style>
  <w:style w:type="paragraph" w:styleId="TOC4">
    <w:name w:val="toc 4"/>
    <w:basedOn w:val="Normal"/>
    <w:next w:val="Normal"/>
    <w:pPr>
      <w:tabs>
        <w:tab w:val="clear" w:pos="720"/>
        <w:tab w:val="right" w:pos="9360" w:leader="dot"/>
      </w:tabs>
      <w:suppressAutoHyphens w:val="true"/>
      <w:spacing w:lineRule="atLeast" w:line="240"/>
      <w:ind w:hanging="720" w:start="2880" w:end="720"/>
    </w:pPr>
    <w:rPr/>
  </w:style>
  <w:style w:type="paragraph" w:styleId="TOC5">
    <w:name w:val="toc 5"/>
    <w:basedOn w:val="Normal"/>
    <w:next w:val="Normal"/>
    <w:pPr>
      <w:tabs>
        <w:tab w:val="clear" w:pos="720"/>
        <w:tab w:val="right" w:pos="9360" w:leader="dot"/>
      </w:tabs>
      <w:suppressAutoHyphens w:val="true"/>
      <w:spacing w:lineRule="atLeast" w:line="240"/>
      <w:ind w:hanging="720" w:start="3600" w:end="720"/>
    </w:pPr>
    <w:rPr/>
  </w:style>
  <w:style w:type="paragraph" w:styleId="TOC6">
    <w:name w:val="toc 6"/>
    <w:basedOn w:val="Normal"/>
    <w:next w:val="Normal"/>
    <w:pPr>
      <w:tabs>
        <w:tab w:val="clear" w:pos="720"/>
        <w:tab w:val="right" w:pos="9360" w:leader="none"/>
      </w:tabs>
      <w:suppressAutoHyphens w:val="true"/>
      <w:spacing w:lineRule="atLeast" w:line="240"/>
      <w:ind w:hanging="720" w:start="720" w:end="0"/>
    </w:pPr>
    <w:rPr/>
  </w:style>
  <w:style w:type="paragraph" w:styleId="TOC7">
    <w:name w:val="toc 7"/>
    <w:basedOn w:val="Normal"/>
    <w:next w:val="Normal"/>
    <w:pPr>
      <w:suppressAutoHyphens w:val="true"/>
      <w:spacing w:lineRule="atLeast" w:line="240"/>
      <w:ind w:hanging="720" w:start="720" w:end="0"/>
    </w:pPr>
    <w:rPr/>
  </w:style>
  <w:style w:type="paragraph" w:styleId="TOC8">
    <w:name w:val="toc 8"/>
    <w:basedOn w:val="Normal"/>
    <w:next w:val="Normal"/>
    <w:pPr>
      <w:tabs>
        <w:tab w:val="clear" w:pos="720"/>
        <w:tab w:val="right" w:pos="9360" w:leader="none"/>
      </w:tabs>
      <w:suppressAutoHyphens w:val="true"/>
      <w:spacing w:lineRule="atLeast" w:line="240"/>
      <w:ind w:hanging="720" w:start="720" w:end="0"/>
    </w:pPr>
    <w:rPr/>
  </w:style>
  <w:style w:type="paragraph" w:styleId="TOC9">
    <w:name w:val="toc 9"/>
    <w:basedOn w:val="Normal"/>
    <w:next w:val="Normal"/>
    <w:pPr>
      <w:tabs>
        <w:tab w:val="clear" w:pos="720"/>
        <w:tab w:val="right" w:pos="9360" w:leader="dot"/>
      </w:tabs>
      <w:suppressAutoHyphens w:val="true"/>
      <w:spacing w:lineRule="atLeast" w:line="240"/>
      <w:ind w:hanging="720" w:start="720" w:end="0"/>
    </w:pPr>
    <w:rPr/>
  </w:style>
  <w:style w:type="paragraph" w:styleId="Index1">
    <w:name w:val="index 1"/>
    <w:basedOn w:val="Normal"/>
    <w:next w:val="Normal"/>
    <w:pPr>
      <w:tabs>
        <w:tab w:val="clear" w:pos="720"/>
        <w:tab w:val="right" w:pos="9360" w:leader="dot"/>
      </w:tabs>
      <w:suppressAutoHyphens w:val="true"/>
      <w:spacing w:lineRule="atLeast" w:line="240"/>
      <w:ind w:hanging="1440" w:start="1440" w:end="720"/>
    </w:pPr>
    <w:rPr/>
  </w:style>
  <w:style w:type="paragraph" w:styleId="Index2">
    <w:name w:val="index 2"/>
    <w:basedOn w:val="Normal"/>
    <w:next w:val="Normal"/>
    <w:pPr>
      <w:tabs>
        <w:tab w:val="clear" w:pos="720"/>
        <w:tab w:val="right" w:pos="9360" w:leader="dot"/>
      </w:tabs>
      <w:suppressAutoHyphens w:val="true"/>
      <w:spacing w:lineRule="atLeast" w:line="240"/>
      <w:ind w:hanging="720" w:start="1440" w:end="720"/>
    </w:pPr>
    <w:rPr/>
  </w:style>
  <w:style w:type="paragraph" w:styleId="TOAHeading">
    <w:name w:val="TOA Heading"/>
    <w:basedOn w:val="Normal"/>
    <w:next w:val="Normal"/>
    <w:qFormat/>
    <w:pPr>
      <w:tabs>
        <w:tab w:val="clear" w:pos="720"/>
        <w:tab w:val="right" w:pos="9360" w:leader="none"/>
      </w:tabs>
      <w:suppressAutoHyphens w:val="true"/>
      <w:spacing w:lineRule="atLeast" w:line="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2000-11-09T22:10:00Z</dcterms:created>
  <dc:creator>Vinson &amp; Elkins L.L.P.</dc:creator>
  <dc:description/>
  <dc:language>en-CA</dc:language>
  <cp:lastModifiedBy>Vinson &amp; Elkins L.L.P.</cp:lastModifiedBy>
  <cp:lastPrinted>2000-11-09T18:25:00Z</cp:lastPrinted>
  <dcterms:modified xsi:type="dcterms:W3CDTF">2000-11-09T22:10:00Z</dcterms:modified>
  <cp:revision>2</cp:revision>
  <dc:subject/>
  <dc:title>CONFIDENTIAL/ATTORNEY-CLIENT PRIVILEGE</dc:title>
</cp:coreProperties>
</file>