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r>
    </w:p>
    <w:p>
      <w:pPr>
        <w:pStyle w:val="Normal"/>
        <w:rPr>
          <w:b/>
          <w:sz w:val="24"/>
        </w:rPr>
      </w:pPr>
      <w:r>
        <w:rPr>
          <w:b/>
          <w:sz w:val="24"/>
        </w:rPr>
      </w:r>
    </w:p>
    <w:p>
      <w:pPr>
        <w:pStyle w:val="Normal"/>
        <w:rPr/>
      </w:pPr>
      <w:r>
        <w:rPr>
          <w:b/>
          <w:sz w:val="24"/>
        </w:rPr>
        <w:t>Date:</w:t>
        <w:tab/>
      </w:r>
      <w:r>
        <w:rPr>
          <w:sz w:val="24"/>
        </w:rPr>
        <w:tab/>
        <w:t>11</w:t>
      </w:r>
      <w:r>
        <w:rPr>
          <w:sz w:val="24"/>
          <w:vertAlign w:val="superscript"/>
        </w:rPr>
        <w:t>th</w:t>
      </w:r>
      <w:r>
        <w:rPr>
          <w:sz w:val="24"/>
        </w:rPr>
        <w:t xml:space="preserve"> July 2000</w:t>
      </w:r>
    </w:p>
    <w:p>
      <w:pPr>
        <w:pStyle w:val="Normal"/>
        <w:rPr/>
      </w:pPr>
      <w:r>
        <w:rPr>
          <w:b/>
          <w:sz w:val="24"/>
        </w:rPr>
        <w:t>To:</w:t>
        <w:tab/>
        <w:tab/>
      </w:r>
      <w:r>
        <w:rPr>
          <w:sz w:val="24"/>
        </w:rPr>
        <w:t>Distribution</w:t>
      </w:r>
    </w:p>
    <w:p>
      <w:pPr>
        <w:pStyle w:val="Normal"/>
        <w:rPr/>
      </w:pPr>
      <w:r>
        <w:rPr>
          <w:b/>
          <w:sz w:val="24"/>
        </w:rPr>
        <w:t>From:</w:t>
        <w:tab/>
      </w:r>
      <w:r>
        <w:rPr>
          <w:sz w:val="24"/>
        </w:rPr>
        <w:tab/>
        <w:t>Government and Regulatory Affairs - Enron Europe</w:t>
      </w:r>
    </w:p>
    <w:p>
      <w:pPr>
        <w:pStyle w:val="Normal"/>
        <w:pBdr>
          <w:bottom w:val="single" w:sz="12" w:space="1" w:color="000000"/>
        </w:pBdr>
        <w:rPr/>
      </w:pPr>
      <w:r>
        <w:rPr>
          <w:b/>
          <w:sz w:val="24"/>
        </w:rPr>
        <w:t>Subject:</w:t>
        <w:tab/>
      </w:r>
      <w:r>
        <w:rPr>
          <w:sz w:val="24"/>
        </w:rPr>
        <w:t>Weekly Activity Report and Upcoming Schedule</w:t>
      </w:r>
    </w:p>
    <w:p>
      <w:pPr>
        <w:pStyle w:val="Normal"/>
        <w:pBdr>
          <w:bottom w:val="single" w:sz="12" w:space="1" w:color="000000"/>
        </w:pBdr>
        <w:rPr>
          <w:sz w:val="24"/>
        </w:rPr>
      </w:pPr>
      <w:r>
        <w:rPr>
          <w:sz w:val="24"/>
        </w:rPr>
      </w:r>
    </w:p>
    <w:p>
      <w:pPr>
        <w:pStyle w:val="Normal"/>
        <w:rPr>
          <w:sz w:val="24"/>
        </w:rPr>
      </w:pPr>
      <w:r>
        <w:rPr>
          <w:sz w:val="24"/>
        </w:rPr>
      </w:r>
    </w:p>
    <w:p>
      <w:pPr>
        <w:pStyle w:val="Normal"/>
        <w:rPr/>
      </w:pPr>
      <w:r>
        <w:rPr/>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UK Climate Change Levy</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On 4 July, DETR published its conclusions on what constitutes "good quality" CHP.   This includes the partitioning of complex schemes such as Wilton where turbines are operating in parallel, in order to qualify for more lenient quality index parameters and potentially to target tax exemptions to specific customers.  Further details are still required from HMCE on how this might work.</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UK Gas</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Enron responded to Transco's  proposals for transportation prices for October 2000.  We are awaiting Ofgem's decisions.</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Representations on Transco's proposed modifications to the entry capacity regime are due by July 11th.  Ofgem decisions are expected around July 21st.</w:t>
      </w:r>
    </w:p>
    <w:p>
      <w:pPr>
        <w:pStyle w:val="Normal"/>
        <w:spacing w:lineRule="atLeast" w:line="240"/>
        <w:rPr>
          <w:rFonts w:ascii="Tms Rmn;Times New Roman" w:hAnsi="Tms Rmn;Times New Roman" w:cs="Tms Rmn;Times New Roman"/>
          <w:b/>
          <w:color w:val="000000"/>
          <w:sz w:val="24"/>
          <w:lang w:val="en-AU" w:eastAsia="en-US"/>
        </w:rPr>
      </w:pPr>
      <w:r>
        <w:rPr>
          <w:rFonts w:cs="Tms Rmn;Times New Roman" w:ascii="Tms Rmn;Times New Roman" w:hAnsi="Tms Rmn;Times New Roman"/>
          <w:b/>
          <w:color w:val="000000"/>
          <w:sz w:val="24"/>
          <w:lang w:val="en-AU" w:eastAsia="en-US"/>
        </w:rPr>
      </w:r>
    </w:p>
    <w:p>
      <w:pPr>
        <w:pStyle w:val="Normal"/>
        <w:spacing w:lineRule="atLeast" w:line="240"/>
        <w:rPr>
          <w:rFonts w:ascii="Tms Rmn;Times New Roman" w:hAnsi="Tms Rmn;Times New Roman" w:cs="Tms Rmn;Times New Roman"/>
          <w:b/>
          <w:color w:val="000000"/>
          <w:sz w:val="24"/>
          <w:lang w:val="en-AU" w:eastAsia="en-US"/>
        </w:rPr>
      </w:pPr>
      <w:r>
        <w:rPr>
          <w:rFonts w:cs="Tms Rmn;Times New Roman" w:ascii="Tms Rmn;Times New Roman" w:hAnsi="Tms Rmn;Times New Roman"/>
          <w:b/>
          <w:color w:val="000000"/>
          <w:sz w:val="24"/>
          <w:lang w:val="en-AU" w:eastAsia="en-US"/>
        </w:rPr>
        <w:t>UK Power</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We are participating in the industry groups reviewing the trading and metering elements of the Balancing and Settlement Code which was released (on the Ofgem website) on 16 June.</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We attended the Ofgem seminar on the Implementation Scheme to introduce the new electricity trading arrangements (5 July).</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Comments are due on the NETA Implementation Scheme by 10 July.</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Further comments are due with the Competition Commission on the market abuse condition by 21 July.</w:t>
      </w:r>
    </w:p>
    <w:p>
      <w:pPr>
        <w:pStyle w:val="Normal"/>
        <w:spacing w:lineRule="atLeast" w:line="240"/>
        <w:rPr>
          <w:rFonts w:ascii="Helv;Arial" w:hAnsi="Helv;Arial" w:cs="Helv;Arial"/>
          <w:color w:val="000000"/>
          <w:sz w:val="22"/>
          <w:lang w:val="en-AU" w:eastAsia="en-US"/>
        </w:rPr>
      </w:pPr>
      <w:r>
        <w:rPr>
          <w:rFonts w:cs="Helv;Arial" w:ascii="Helv;Arial" w:hAnsi="Helv;Arial"/>
          <w:color w:val="000000"/>
          <w:sz w:val="22"/>
          <w:lang w:val="en-AU" w:eastAsia="en-US"/>
        </w:rPr>
      </w:r>
    </w:p>
    <w:p>
      <w:pPr>
        <w:pStyle w:val="Normal"/>
        <w:spacing w:lineRule="atLeast" w:line="240"/>
        <w:rPr>
          <w:rFonts w:ascii="Tms Rmn;Times New Roman" w:hAnsi="Tms Rmn;Times New Roman" w:cs="Tms Rmn;Times New Roman"/>
          <w:b/>
          <w:color w:val="000000"/>
          <w:sz w:val="24"/>
          <w:lang w:val="en-AU" w:eastAsia="en-US"/>
        </w:rPr>
      </w:pPr>
      <w:r>
        <w:rPr>
          <w:rFonts w:cs="Tms Rmn;Times New Roman" w:ascii="Tms Rmn;Times New Roman" w:hAnsi="Tms Rmn;Times New Roman"/>
          <w:b/>
          <w:color w:val="000000"/>
          <w:sz w:val="24"/>
          <w:lang w:val="en-AU" w:eastAsia="en-US"/>
        </w:rPr>
        <w:t>EU</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 xml:space="preserve"> </w:t>
      </w:r>
      <w:r>
        <w:rPr>
          <w:color w:val="000000"/>
          <w:sz w:val="22"/>
          <w:lang w:val="en-AU" w:eastAsia="en-US"/>
        </w:rPr>
        <w:t>We shall be sending a letter to Mr. Tradacete, Director at DG COMP, to express our concerns with the proposal by the German government, potentially supported by France and Belgium, on export-related cross-border tariffs.</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We shall be submitting our comments on the German grid code to Mr. Supponen at the electricity unit of DG TREN.</w:t>
      </w:r>
    </w:p>
    <w:p>
      <w:pPr>
        <w:pStyle w:val="Normal"/>
        <w:spacing w:lineRule="atLeast" w:line="240"/>
        <w:rPr>
          <w:rFonts w:ascii="Tms Rmn;Times New Roman" w:hAnsi="Tms Rmn;Times New Roman" w:cs="Tms Rmn;Times New Roman"/>
          <w:b/>
          <w:color w:val="000000"/>
          <w:sz w:val="24"/>
          <w:lang w:val="en-AU" w:eastAsia="en-US"/>
        </w:rPr>
      </w:pPr>
      <w:r>
        <w:rPr>
          <w:rFonts w:cs="Tms Rmn;Times New Roman" w:ascii="Tms Rmn;Times New Roman" w:hAnsi="Tms Rmn;Times New Roman"/>
          <w:b/>
          <w:color w:val="000000"/>
          <w:sz w:val="24"/>
          <w:lang w:val="en-AU" w:eastAsia="en-US"/>
        </w:rPr>
      </w:r>
    </w:p>
    <w:p>
      <w:pPr>
        <w:pStyle w:val="Normal"/>
        <w:spacing w:lineRule="atLeast" w:line="240"/>
        <w:rPr>
          <w:rFonts w:ascii="Tms Rmn;Times New Roman" w:hAnsi="Tms Rmn;Times New Roman" w:cs="Tms Rmn;Times New Roman"/>
          <w:b/>
          <w:color w:val="000000"/>
          <w:sz w:val="24"/>
          <w:lang w:val="en-AU" w:eastAsia="en-US"/>
        </w:rPr>
      </w:pPr>
      <w:r>
        <w:rPr>
          <w:rFonts w:cs="Tms Rmn;Times New Roman" w:ascii="Tms Rmn;Times New Roman" w:hAnsi="Tms Rmn;Times New Roman"/>
          <w:b/>
          <w:color w:val="000000"/>
          <w:sz w:val="24"/>
          <w:lang w:val="en-AU" w:eastAsia="en-US"/>
        </w:rPr>
        <w:t>Austria and Germany</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Gas Network Agreement (so-called VV1) signed by four associations and Economics Ministry on 4th of July. Will become effective within 1-2 months. Criticised by many, including Enron. Working with EFET to ensure that EFET is included in the next round of negotiations for the gas network agreement (Gas V2) which begins in September.</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Submitted detailed list of changes to German Economics Minisitry on proposed revision of German energy law (EnWG - Novelle) to accomodate EU gas directive.</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RWE/VEW merger formally approved by Bundeskartellamt on July 4th. Among the conditions attached to the merger approval is the introduction of a market for balancing energy in combined RWE/VEW control area. Will work with the BkartA to try and ensure proper establishment of this market.</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 xml:space="preserve">Berlin court  ruled in favor of Fortum in their case against Veag. Veag has consistently denied third parties access to their network for delivery in eastern Germany citing the protection afforded under the clause protecting lignite production in the German Energy Law.  Fortum took their case to the Berlin court which ruled in  their favor. However, the ruling has yet to be implemented as Veag has appealed the decision. </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New energy legislation has been passed in Austria - the electricity law has been revised (Elwog2) and a new law on gas has been approved (GWG). Will summarise the contents of these laws in near future.</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France</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On Wednesday, 12 July, Enron met with the Chairman of the Commission on Electricity Regulation (CRE), Mr. Jean Syrota, to discuss our position on network access in France plus our views on gas liberalisation in Europe.  The Commissioners of the CRE will also be present.</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Enron will participate in the first, formal session of the Network Users Advisory Group to the RTE (French grid operator) on Wednesday, 12 July.</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On 24 July, Enron will meet with the new advisor to Energy Minister Christian Pierret -- Mr. Patrice Caine (replacing Mathias Hautefort).</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Italy</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We participated in a workshop organised by the TSO to discuss the allocation of import capacity for year 2001.</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We met a gas specialist at the Ministry of Industry to discuss regulatory details regarding the practical implementation of the new gas law in Italy, and in particular, gas imports because the Ministry itself is responsible for authorising them. We covered all formal requirements we will need to meet for bringing gas into Italy.</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Netherlands</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Began building a T&amp;D curve for the Netherlands.</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We were invited by the regulator to an expert meeting on electricty benchmark regulation regarding purchase costs of distribution companies. This is the core of the supply cap. Meeting wil be held Thursday the 13th of July 2000.</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We are preparing a paper on behalf of VOEG regarding import allocation for 2001.</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Poland</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We submitted comments on the draft Tariff Ordinance to Stanislaw Poreba at PSE Elektra, a key influencer in shaping the secondary legislation, on 7 July.  We will submit comments on the draft Interconnection Ordinance in the week of 11</w:t>
      </w:r>
      <w:r>
        <w:rPr>
          <w:color w:val="000000"/>
          <w:sz w:val="22"/>
          <w:vertAlign w:val="superscript"/>
          <w:lang w:val="en-AU" w:eastAsia="en-US"/>
        </w:rPr>
        <w:t>th</w:t>
      </w:r>
      <w:r>
        <w:rPr>
          <w:color w:val="000000"/>
          <w:sz w:val="22"/>
          <w:lang w:val="en-AU" w:eastAsia="en-US"/>
        </w:rPr>
        <w:t xml:space="preserve"> July.</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Romania</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 xml:space="preserve">The Petrom-Enron Gas JV was awarded an electricity supply licence on 30 June.  This was the last action of the President of the Regulatory Authority, Jean Constantinescu, before he was replaced by order of the Minister of Industry and Commerce, allegedly for being too "pro-reform".   Enron negotiated significant changes to the text of the licence, which is now being used as the standard for future awards and amendments to existing licences.  P-E Gas is attempting to take over management of the gas supply contract to Termoelectrica, and this licence will allow us to offer a gas-power tolling arrangement as part of the deal. </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Spain</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We met the new Director General of Energy, and provided an update of Enron's activities in Spain. Following this meeting, the DGE has finally issued their authorisation for the construction of the Arcos power plant.</w:t>
      </w:r>
    </w:p>
    <w:p>
      <w:pPr>
        <w:pStyle w:val="Normal"/>
        <w:numPr>
          <w:ilvl w:val="0"/>
          <w:numId w:val="1"/>
        </w:numPr>
        <w:spacing w:lineRule="atLeast" w:line="240" w:before="120" w:after="120"/>
        <w:ind w:hanging="357" w:start="357" w:end="0"/>
        <w:rPr>
          <w:color w:val="000000"/>
          <w:sz w:val="22"/>
          <w:lang w:val="en-AU" w:eastAsia="en-US"/>
        </w:rPr>
      </w:pPr>
      <w:r>
        <w:rPr>
          <w:color w:val="000000"/>
          <w:sz w:val="22"/>
          <w:lang w:val="en-AU" w:eastAsia="en-US"/>
        </w:rPr>
        <w:t>We also showed our interest for participating in the release of 25 percent of Algerian Gas, and they welcome any ideas for the allocation of these releases. The new Director also wishes to hear from us if the new liberalisation measures issued recently do really improve competition and facilitate new entry in both gas and electricity markets. We are currently preparing a note on these measures.</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pPr>
      <w:r>
        <w:rPr/>
        <w:t>Distribution</w:t>
      </w:r>
    </w:p>
    <w:tbl>
      <w:tblPr>
        <w:tblW w:w="8520" w:type="dxa"/>
        <w:jc w:val="start"/>
        <w:tblInd w:w="0" w:type="dxa"/>
        <w:tblLayout w:type="fixed"/>
        <w:tblCellMar>
          <w:top w:w="0" w:type="dxa"/>
          <w:start w:w="108" w:type="dxa"/>
          <w:bottom w:w="0" w:type="dxa"/>
          <w:end w:w="108" w:type="dxa"/>
        </w:tblCellMar>
      </w:tblPr>
      <w:tblGrid>
        <w:gridCol w:w="2840"/>
        <w:gridCol w:w="2840"/>
        <w:gridCol w:w="2840"/>
      </w:tblGrid>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Govt Affairs</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Jarek Astramowicz</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R Bortolotti</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Dan Badger</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Justin Boyd</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Michael R Brown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Alan Black</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Jon Chapman</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Paul Chivers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Mary Nell Browning</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Mark Evans</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Stuart Ffoulkes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Mark Elliott</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Mark Frevert</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Eric Gadd</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Viviana Florio</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Joe Gold</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Mark Haedicke</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Jackie Gentle</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Joe Hillings</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Steven J Kean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Richard Harper</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TLien</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Elizabeth Linnell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Tom Kearney</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Chris Long</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Christopher McKey</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Katie Lomax</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Keith Miller</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Mark Muller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Paul Mead</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Lindolfo Ernesto Paixao</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Roy Poyntz</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Earlene O'Connell</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Robert Quick</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Martin Rosell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Chris Presiaux</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Matthew Scrimshaw</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Paul Simons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Robert Saltiel</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Stuart Staley</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Bruce Stram</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John Sherriff</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Marcus Von Bock Und Polach</w:t>
            </w:r>
          </w:p>
        </w:tc>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Christoph Waltenspuel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color w:val="000000"/>
                <w:sz w:val="18"/>
                <w:lang w:val="en-AU" w:eastAsia="en-US"/>
              </w:rPr>
            </w:pPr>
            <w:r>
              <w:rPr>
                <w:color w:val="000000"/>
                <w:sz w:val="18"/>
                <w:lang w:val="en-AU" w:eastAsia="en-US"/>
              </w:rPr>
              <w:t>Tim Underdown</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lang w:val="en-AU" w:eastAsia="en-US"/>
              </w:rPr>
            </w:pPr>
            <w:r>
              <w:rPr>
                <w:color w:val="000000"/>
                <w:sz w:val="18"/>
                <w:lang w:val="en-AU" w:eastAsia="en-US"/>
              </w:rPr>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lang w:val="en-AU" w:eastAsia="en-US"/>
              </w:rPr>
            </w:pPr>
            <w:r>
              <w:rPr>
                <w:color w:val="000000"/>
                <w:sz w:val="18"/>
                <w:lang w:val="en-AU" w:eastAsia="en-US"/>
              </w:rPr>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color w:val="000000"/>
                <w:sz w:val="18"/>
                <w:lang w:val="en-AU" w:eastAsia="en-US"/>
              </w:rPr>
              <w:t>Jane Wilson</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r>
    </w:tbl>
    <w:p>
      <w:pPr>
        <w:pStyle w:val="Normal"/>
        <w:jc w:val="both"/>
        <w:rPr>
          <w:sz w:val="22"/>
        </w:rPr>
      </w:pPr>
      <w:r>
        <w:rPr>
          <w:sz w:val="22"/>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pPr>
    <w:rPr>
      <w:color w:val="000000"/>
      <w:sz w:val="22"/>
      <w:lang w:val="en-AU"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2000-07-14T12:32:00Z</dcterms:created>
  <dc:creator>SEvans2</dc:creator>
  <dc:description/>
  <dc:language>en-CA</dc:language>
  <cp:lastModifiedBy>KBanks</cp:lastModifiedBy>
  <cp:lastPrinted>2000-07-06T10:08:00Z</cp:lastPrinted>
  <dcterms:modified xsi:type="dcterms:W3CDTF">2000-07-14T12:32:00Z</dcterms:modified>
  <cp:revision>2</cp:revision>
  <dc:subject/>
  <dc:title>Weekly Report </dc:title>
</cp:coreProperties>
</file>