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August 24,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GAS NATURAL MEXICO S.A. de C.V., a Mexican sociedad anonima de capital variable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Confirmation of even date herewith (the “Current Confirmation”) (all such swap, option or other financially-settled derivative transactions and the agreements evidencing same, including without limitation, the Current Confirmation,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$20,000,000.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Gas Natural Mexico S.A. de C.V.</w:t>
            </w:r>
          </w:p>
        </w:tc>
        <w:tc>
          <w:tcPr>
            <w:tcW w:w="1618" w:type="dxa"/>
            <w:tcBorders/>
          </w:tcPr>
          <w:p>
            <w:pPr>
              <w:pStyle w:val="Normal"/>
              <w:keepNext w:val="true"/>
              <w:keepLines/>
              <w:spacing w:lineRule="atLeast" w:line="240"/>
              <w:rPr>
                <w:color w:val="000000"/>
                <w:sz w:val="22"/>
                <w:szCs w:val="22"/>
              </w:rPr>
            </w:pPr>
            <w:r>
              <w:rPr>
                <w:color w:val="000000"/>
                <w:sz w:val="22"/>
                <w:szCs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Jaime Balmes No. 8</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Piso 7</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Col. Los Morales Polanco</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11510 Mexico DF</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MEXICO</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Angel Benedi</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92"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011-525-279</w:t>
            </w:r>
          </w:p>
        </w:tc>
        <w:tc>
          <w:tcPr>
            <w:tcW w:w="161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53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IN WITNESS WHEREOF, the Guarantor has executed this Guaranty on August 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p>
      <w:pPr>
        <w:pStyle w:val="Normal"/>
        <w:rPr>
          <w:sz w:val="22"/>
          <w:szCs w:val="22"/>
        </w:rPr>
      </w:pPr>
      <w:r>
        <w:rPr>
          <w:sz w:val="22"/>
          <w:szCs w:val="22"/>
        </w:rPr>
      </w:r>
    </w:p>
    <w:sectPr>
      <w:footerReference w:type="default" r:id="rId2"/>
      <w:type w:val="nextPage"/>
      <w:pgSz w:w="12240" w:h="15840"/>
      <w:pgMar w:left="1440" w:right="1440" w:gutter="0" w:header="0" w:top="1440" w:footer="835" w:bottom="1440"/>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3</w:t>
    </w:r>
    <w:r>
      <w:rPr>
        <w:sz w:val="20"/>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lineRule="exact" w:line="240"/>
      <w:ind w:firstLine="720" w:start="720" w:end="0"/>
      <w:jc w:val="both"/>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2000-08-25T15:41:00Z</dcterms:created>
  <dc:creator>tjones</dc:creator>
  <dc:description/>
  <dc:language>en-CA</dc:language>
  <cp:lastModifiedBy>tjones</cp:lastModifiedBy>
  <dcterms:modified xsi:type="dcterms:W3CDTF">2000-08-25T15:44:00Z</dcterms:modified>
  <cp:revision>3</cp:revision>
  <dc:subject/>
  <dc:title>ENRON CORP</dc:title>
</cp:coreProperties>
</file>