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rPr/>
      </w:pPr>
      <w:r>
        <w:rPr/>
        <w:t>This Master Agreement is entered into as of March _____, 2000 (this "Master Agreement") between STATEX PETROLEUM I, L.P., a Texas limited partnership ("Counterparty") and ENRON NORTH AMERICA CORP., a Delaware corporation ("ENA").</w:t>
      </w:r>
    </w:p>
    <w:p>
      <w:pPr>
        <w:pStyle w:val="Normal"/>
        <w:ind w:firstLine="360" w:end="0"/>
        <w:jc w:val="both"/>
        <w:rPr>
          <w:rFonts w:ascii="Arial Narrow" w:hAnsi="Arial Narrow" w:cs="Arial Narrow"/>
          <w:sz w:val="18"/>
        </w:rPr>
      </w:pPr>
      <w:r>
        <w:rPr>
          <w:rFonts w:cs="Arial Narrow" w:ascii="Arial Narrow" w:hAnsi="Arial Narrow"/>
          <w:sz w:val="18"/>
        </w:rPr>
      </w:r>
    </w:p>
    <w:p>
      <w:pPr>
        <w:pStyle w:val="Normal"/>
        <w:ind w:firstLine="360" w:end="0"/>
        <w:jc w:val="both"/>
        <w:rPr>
          <w:rFonts w:ascii="Arial Narrow" w:hAnsi="Arial Narrow" w:cs="Arial Narrow"/>
          <w:sz w:val="18"/>
        </w:rPr>
      </w:pPr>
      <w:r>
        <w:rPr>
          <w:rFonts w:cs="Arial Narrow" w:ascii="Arial Narrow" w:hAnsi="Arial Narrow"/>
          <w:sz w:val="18"/>
        </w:rPr>
        <w:t>The parties have entered or may from time to time enter into Transactions (each a "Transaction") that are or will be governed by this Master Agreement , which includes the documents and other confirming evidence (each a "Confirmation") exchanged between the parties confirming the Transactions.  Each Confirmation shall constitute a supplement to and form a part of this Master Agreement and shall be read and construed together with this Master Agreement and all Credit Support Documents so that this Master Agreement, all Credit Support Documents, and all Confirmations constitute a single agreement between the parties (collectively, the "Agreement"), and all the Transactions contemplated in Confirmations shall be integral parts of this Master Agreement.  All Transactions are entered into in reliance on the fact that this Master Agreement and all Confirmations form a single agreement between the parties, and the parties would not otherwise enter into any Transaction.  Except as otherwise provided in this Master Agreement, in the event of any inconsistency between the provisions of this Master Agreement and the terms of the relevant Transaction set forth in a Confirmation, such Confirmation will prevail for the purpose of the relevant Transaction.</w:t>
      </w:r>
    </w:p>
    <w:p>
      <w:pPr>
        <w:pStyle w:val="Normal"/>
        <w:ind w:firstLine="360" w:end="0"/>
        <w:jc w:val="both"/>
        <w:rPr>
          <w:rFonts w:ascii="Arial Narrow" w:hAnsi="Arial Narrow" w:cs="Arial Narrow"/>
          <w:sz w:val="18"/>
        </w:rPr>
      </w:pPr>
      <w:r>
        <w:rPr>
          <w:rFonts w:cs="Arial Narrow" w:ascii="Arial Narrow" w:hAnsi="Arial Narrow"/>
          <w:sz w:val="18"/>
        </w:rPr>
      </w:r>
    </w:p>
    <w:p>
      <w:pPr>
        <w:pStyle w:val="Normal"/>
        <w:ind w:firstLine="360" w:end="0"/>
        <w:jc w:val="both"/>
        <w:rPr>
          <w:rFonts w:ascii="Arial Narrow" w:hAnsi="Arial Narrow" w:cs="Arial Narrow"/>
          <w:sz w:val="18"/>
        </w:rPr>
      </w:pPr>
      <w:r>
        <w:rPr>
          <w:rFonts w:cs="Arial Narrow" w:ascii="Arial Narrow" w:hAnsi="Arial Narrow"/>
          <w:sz w:val="18"/>
        </w:rPr>
        <w:t>Counterparty and ENA hereby agree as follows:</w:t>
      </w:r>
    </w:p>
    <w:p>
      <w:pPr>
        <w:pStyle w:val="Normal"/>
        <w:ind w:firstLine="360" w:end="0"/>
        <w:jc w:val="both"/>
        <w:rPr>
          <w:rFonts w:ascii="Arial Narrow" w:hAnsi="Arial Narrow" w:cs="Arial Narrow"/>
          <w:sz w:val="18"/>
        </w:rPr>
      </w:pPr>
      <w:r>
        <w:rPr>
          <w:rFonts w:cs="Arial Narrow" w:ascii="Arial Narrow" w:hAnsi="Arial Narrow"/>
          <w:sz w:val="18"/>
        </w:rPr>
      </w:r>
    </w:p>
    <w:p>
      <w:pPr>
        <w:pStyle w:val="Heading2"/>
        <w:spacing w:before="0" w:after="0"/>
        <w:ind w:hanging="0" w:end="0"/>
        <w:rPr/>
      </w:pPr>
      <w:r>
        <w:rPr>
          <w:rFonts w:cs="Arial Narrow" w:ascii="Arial Narrow" w:hAnsi="Arial Narrow"/>
          <w:sz w:val="18"/>
        </w:rPr>
        <w:t xml:space="preserve">1.  </w:t>
      </w:r>
      <w:r>
        <w:rPr>
          <w:rFonts w:cs="Arial Narrow" w:ascii="Arial Narrow" w:hAnsi="Arial Narrow"/>
          <w:b/>
          <w:sz w:val="18"/>
          <w:u w:val="single"/>
        </w:rPr>
        <w:t>Transactions</w:t>
      </w:r>
      <w:r>
        <w:rPr>
          <w:rFonts w:cs="Arial Narrow" w:ascii="Arial Narrow" w:hAnsi="Arial Narrow"/>
          <w:sz w:val="18"/>
        </w:rPr>
        <w:t>.  A.  A Transaction shall be entered into by means of an offer by either party to the other party in a telephone conversation that may be recorded (and each party hereby consents to such recording of its employees' conversations with respect to a Transaction without any further notice) and the acceptance of such offer by the offeree in such telephone conversation.  The parties intend that they are legally bound by the terms of each Transaction from the moment they agree to those terms (whether orally or otherwise).  As a material part of the consideration for entering into this Master Agreement, each of the parties agrees not to contest or assert (and hereby waives any right to) any defense to the validity or enforceability of telephonic Transactions entered into on each date ("Trade Date") in accordance with this Master Agreement under laws relating to whether certain agreements are to be in writing or signed by such party to be thereby bound or the authority of any employee.</w:t>
      </w:r>
    </w:p>
    <w:p>
      <w:pPr>
        <w:pStyle w:val="Normal"/>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B.  ENA shall execute and send to Counterparty promptly after telephonic agreement to such terms a written Confirmation, which shall be promptly executed by Counterparty and returned to ENA.</w:t>
      </w:r>
    </w:p>
    <w:p>
      <w:pPr>
        <w:pStyle w:val="Normal"/>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C.  A Confirmation sent as provided above for a Transaction shall become effective upon receipt by ENA of Counterparty's acceptance, unless after Counterparty's receipt of the Confirmation, Counterparty immediately notifies ENA that the Confirmation contains a bona fide error and that a correction is necessary, in which case the Confirmation, as revised to correct the error, shall be the Confirmation for the Transaction.  If any dispute shall arise as to whether an error exists, the parties shall, in good faith, make reasonable efforts to resolve the dispute.  If Counterparty has not immediately notified ENA of a bona fide error in the Confirmation or has not accepted the Confirmation in the manner set forth above within two (2) Business Days after it was received by Counterparty, the Confirmation shall be deemed binding as sent.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with respect to each Transaction,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ind w:firstLine="360" w:end="0"/>
        <w:jc w:val="both"/>
        <w:rPr>
          <w:rFonts w:ascii="Arial Narrow" w:hAnsi="Arial Narrow" w:cs="Arial Narrow"/>
          <w:sz w:val="18"/>
        </w:rPr>
      </w:pPr>
      <w:r>
        <w:rPr>
          <w:rFonts w:cs="Arial Narrow" w:ascii="Arial Narrow" w:hAnsi="Arial Narrow"/>
          <w:sz w:val="18"/>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 xml:space="preserve">Each payment will be made in U.S. Dollars via wire transfer in immediately available funds on the relevant Payment Date (or if not a Business Day, on the next Business Day).  If either party is required by law or regulation to make any deduction or withholding for or on account of taxes, such party shall pay such additional amounts as shall be necessary in order that the net amounts received by the other party after such deduction or withholding shall equal the amount that would have been receivable hereunder in the absence of such deduction or withholding.  Except as otherwise expressly provided in Section 6, each payment obligation of each party under a Transaction is subject to (1) the condition precedent that no Event of Default or event which, with the giving of notice or the lapse of time or both, would constitute an Event of Default with respect to the other party has occurred and is continuing, (2) the condition precedent that no Early Termination Date or Accelerated Termination Date in respect of the relevant Transaction has occurred or been effectively designated, (3) the condition precedent that no Market Disruption Event in respect of the relevant Transaction has occurred and is continuing that is not otherwise resolved under the terms of Section 4, and (4) each other applicable condition precedent to payment specified in the Agreement; provided, however, that the condition precedent set forth in (1) above does not apply to a payment owing by a party if the other party shall have satisfied in full all of its payment obligations under Section 2 and shall at the relevant time have no future payment obligations, whether absolute or contingent, under Section 2.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3.  </w:t>
      </w:r>
      <w:r>
        <w:rPr>
          <w:rFonts w:cs="Arial Narrow" w:ascii="Arial Narrow" w:hAnsi="Arial Narrow"/>
          <w:b/>
          <w:sz w:val="18"/>
          <w:u w:val="single"/>
        </w:rPr>
        <w:t>Representations</w:t>
      </w:r>
      <w:r>
        <w:rPr>
          <w:rFonts w:cs="Arial Narrow" w:ascii="Arial Narrow" w:hAnsi="Arial Narrow"/>
          <w:sz w:val="18"/>
        </w:rPr>
        <w:t xml:space="preserve">.  On the date hereof, on the date of entering into each Confirmation, and on the Trade Date of each Transaction, each of ENA and Counterparty represents and warrants to the other with respect to itself,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the Agreement have been duly authorized by all necessary corporate or other organization action on its part, (ii) the Agreement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the Agreement;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the Agreement constitutes and each Transaction constitutes or will constitute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the Agreement in conjunction with its line of business (including financial intermediation services) or the financing of its business; and (ii) solely with respect to Options, it is a producer, processor, commercial user of, or merchant handling, the commodity subject to the Transaction or the products or byproducts thereof, and it has entered into each Option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the Agreement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the Agreement or the expected performance or result of any Transaction; and (ii) in connection with the negotiation and execution of the Agreement, (1) it is acting as a principal only (and not as an agent or in any other capacity, fiduciary or otherwise), (2) it is not relying upon any advice, counsel or representations (whether written or oral) of the other party other than the representations expressly set forth in the Agreement, (3) it has made and will make its own decisions regarding the entering into of the Agreement based upon its own judgment and upon the advice from such professional advisors as it deemed, or will deem, necessary to consult, (4) all of its decisions regarding the Agreement have been the result of arm’s-length negotiations between the parties, and (5) it has a full understanding of all the terms, conditions and risks (economic and otherwise) of the Agreement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the relevant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(3) Business Days after the first Trading Day on which the Market Disruption Event occurred or existed, then the Floating Price shall be determined by reference to the Alternative Floating Price Source specified in the relevant Confirmation, if any, which is not subject to a Market Disruption Event.  If no Alternative Floating Price Source is available or has been specified, and the Market Disruption Event continues for more than three (3)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5.  </w:t>
      </w:r>
      <w:r>
        <w:rPr>
          <w:rFonts w:cs="Arial Narrow" w:ascii="Arial Narrow" w:hAnsi="Arial Narrow"/>
          <w:b/>
          <w:sz w:val="18"/>
          <w:u w:val="single"/>
        </w:rPr>
        <w:t>Events of Default</w:t>
      </w:r>
      <w:r>
        <w:rPr>
          <w:rFonts w:cs="Arial Narrow" w:ascii="Arial Narrow" w:hAnsi="Arial Narrow"/>
          <w:sz w:val="18"/>
        </w:rPr>
        <w:t xml:space="preserve">.  An event of default ("Event of Default") shall mean with respect to a party (the "Defaulting Party") or, if applicable, the Credit Support Provider of such party, any of the following:  (a) the failure by the Defaulting Party to make, when due, any payment required under the Agreement if such failure is not remedied within three (3) Business Days after notice of such failure is given to the Defaulting Party; (b) any representation or warranty made by the Defaulting Party or its Credit Support Provider, if any, in the Agreement shall prove to have been false or misleading in any material respect; (c) the breach by the Defaulting Party or its Credit Support Provider, if any, of any other covenant or agreement set forth in the Agreement (other than the obligation (i) to make payment and (ii) to establish, maintain, renew or increase Performance Assurance as set forth in the Credit Support Annex) and such failure is not cured within ten (10) Business Days after it is given notice thereof; (d) the occurrence of an Insolvency Event; (e) the occurrence of a Merger Event; (f) the failure in the payment when due (whether at maturity, by acceleration, or otherwise) of any obligation in respect of borrowed money, in an aggregate amount in excess of $100,000 with respect to Counterparty and $100,000,000 with respect to ENA, or $100,000,000 with respect to ENA’s Credit Support Provider, and the failure to remedy such failure within any applicable grace period, or the failure by Counterparty or ENA’s Credit Support Provider, as the case may be,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(g) the failure to establish, maintain, renew, substitute or increase the Performance Assurance as defined in, and in accordance with the terms and provisions of, the Credit Support Annex; or (h) If Counterparty is the Defaulting Party, ENA  will provide notice of any Event of Default to both Counterparty and International Bank of Commerce (“IBC”) in accordance with </w:t>
      </w:r>
      <w:r>
        <w:rPr>
          <w:rFonts w:cs="Arial Narrow" w:ascii="Arial Narrow" w:hAnsi="Arial Narrow"/>
          <w:sz w:val="18"/>
          <w:u w:val="single"/>
        </w:rPr>
        <w:t>Exhibit A</w:t>
      </w:r>
      <w:r>
        <w:rPr>
          <w:rFonts w:cs="Arial Narrow" w:ascii="Arial Narrow" w:hAnsi="Arial Narrow"/>
          <w:sz w:val="18"/>
        </w:rPr>
        <w: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6.  </w:t>
      </w:r>
      <w:r>
        <w:rPr>
          <w:rFonts w:cs="Arial Narrow" w:ascii="Arial Narrow" w:hAnsi="Arial Narrow"/>
          <w:b/>
          <w:sz w:val="18"/>
          <w:u w:val="single"/>
        </w:rPr>
        <w:t>Remedies</w:t>
      </w:r>
      <w:r>
        <w:rPr>
          <w:rFonts w:cs="Arial Narrow" w:ascii="Arial Narrow" w:hAnsi="Arial Narrow"/>
          <w:sz w:val="18"/>
        </w:rPr>
        <w:t xml:space="preserve">.  If an Event of Default shall have occurred and shall be continuing, the non-defaulting party may, in its sole discretion, by no more than twenty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plus all Unpaid Amounts into a single net  amount and notify the Defaulting Party of the net amount owed or owing.  If the non-defaulting party is owed such net amount, the Defaulting Party shall, within five (5) Business Days of receipt of such notice, pay the net amount to the non-defaulting party, which amount shall bear interest at the Interest Rate from the Early Termination Date until paid.  If the non-defaulting party owes such net amount, the non-defaulting party shall, subject to the provisions of Section 9, within five (5) Business Days of the Early Termination Date, pay the net amount to the Defaulting Party, which amount shall bear interest at the Interest Rate from five (5) Business Days after the Early Termination Date until paid.  </w:t>
      </w:r>
      <w:r>
        <w:rPr>
          <w:rFonts w:cs="Arial Narrow" w:ascii="Arial Narrow" w:hAnsi="Arial Narrow"/>
          <w:b/>
          <w:caps/>
          <w:sz w:val="18"/>
        </w:rPr>
        <w:t>No party shall be required to pay SPECIAL, EXEMPLARY, PUNITIVE, incidental, consequential or indirect damages (WHETHER OR NOT ARISING FROM A PARTY'S NEGLIGENCE) to the other party, except to the extent that the payments required to be made pursuant to tHE AGREEMENT are deemed to be such damages.  If and to the extent any payment made pursuant to thE AGREEMENT is deemed to constitute liquidated damages, the parties acknowledge and agree that damages are difficult or impossible to determine and that such payment IS INTENDED TO BE a reasonable AND GENUINE PRE-ESTIMATE AND approximation of the amount of such damages and not a penalty.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Events of Change</w:t>
      </w:r>
      <w:r>
        <w:rPr>
          <w:rFonts w:cs="Arial Narrow" w:ascii="Arial Narrow" w:hAnsi="Arial Narrow"/>
          <w:sz w:val="18"/>
        </w:rPr>
        <w:t xml:space="preserve">.  (1)  If an Event of Change shall occur, either party shall, promptly upon becoming aware of it, notify the other party of the occurrence of such Event of Change.  After an Event of Change shall have occurred, and provided that such Event of Change is then continuing, upon at least two (2) Business Days’, and not more than twenty (20) Business Days’, notice to the other party, either party may designate in writing a Business Day as an accelerated termination date ("Accelerated Termination Date"), but only with respect to those Transactions that are affected by such Event of Change.  During the period between the date notice of the Event of Change is received and the designated Accelerated Termination Date, both parties shall make reasonable efforts to, if possible, avoid the situation so that the performance of the Agreement can continue with respect to those Transactions affected by the Event of Change; provided that this subsection will not impose on either party any obligation other than to negotiate in good faith to make arrangements as will not adversely affect such party. </w:t>
      </w:r>
    </w:p>
    <w:p>
      <w:pPr>
        <w:pStyle w:val="Normal"/>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 xml:space="preserve">(2)  On an Accelerated Termination Date, all obligations under the Agreement with respect to all Transactions affected by the Event of Change that would have been payable with respect to all Determination Periods that would have ended on or after the Accelerated Termination Date shall be terminated, except for the obligations contained in this Section 7.  Upon designation of an Accelerated Termination Date, each party shall in good faith calculate its Gains, Losses and Costs resulting from the termination of those Transactions affected by the Event of Change.  Each party shall then aggregate such Gains, Losses and Costs with respect to such Transactions into a single net amount.  The party whose aggregate Losses and Costs exceed its Gains shall have a Net Loss and the party whose aggregate Gains exceed its Losses and Costs shall have a Net Gain.  Upon request, each party agrees to provide to the other written notice, in reasonable detail, of its calculations (specifying each of its Costs, Gains, and Losses) and supporting documentation, if any.  In the event that the parties cannot agree upon the amount of Net Gain or Net Loss of a party under this Section 7 within three (3) Business Days after the Accelerated Termination Date, the determination shall be made based upon the arithmetic average of the prices (excluding the highest and lowest prices) quoted by Reference Market-Makers for Replacement Transaction of all Transactions affected by the Event of Change.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(3)  Once the determination has been agreed to or made in accordance with this Section 7, then:  (i) if the Payment Amount (as calculated below) is positive, the party with the Net Gain shall pay the Payment Amount to the party with the Net Loss; and (ii) if the Payment Amount is negative, the party with the Net Loss shall pay the absolute value of the Payment Amount to the party with the Net Gain.  The Payment Amount shall equal (x) fifty percent (50%) of the sum of the Net Gain and the absolute value of the Net Loss plus (y) any Unpaid Amounts owed by the party with the Net Gain to the party with the Net Loss minus (z) any Unpaid Amounts owed by the party with the Net Loss to the party with the Net Gain.  Said payment shall be made as promptly as feasible, but in any event no later than two (2) Business Days after the later of (i) the date that the determination under Section 7(2) has been made and (ii) the Accelerated Termination Date.  The intent of this Section 7 is to leave neither party with an unfair burden as a result of an Event of Change.  It is agreed by the parties that if, during or prior to the implementation of the provisions of this Section 7, an Event of Default shall occur, then the non-defaulting party shall be entitled to designate an Early Termination Date, whereupon the implementation of the provisions of Section 6 shall supersede and replace the implementation of the provisions of this Section 7.</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b/>
          <w:sz w:val="18"/>
          <w:u w:val="single"/>
        </w:rPr>
        <w:t>Credit Support</w:t>
      </w:r>
      <w:r>
        <w:rPr>
          <w:rFonts w:cs="Arial Narrow" w:ascii="Arial Narrow" w:hAnsi="Arial Narrow"/>
          <w:b/>
          <w:sz w:val="18"/>
        </w:rPr>
        <w:t>.</w:t>
      </w:r>
      <w:r>
        <w:rPr>
          <w:rFonts w:cs="Arial Narrow" w:ascii="Arial Narrow" w:hAnsi="Arial Narrow"/>
          <w:sz w:val="18"/>
        </w:rPr>
        <w:t xml:space="preserve">  In consideration of, and to support the financial accommodations contemplated to be extended to each party by the other party under the Agreement:  (1) ENA shall cause its Credit Support Provider to deliver its Guaranty to Counterparty, and (2) each party shall provide Performance Assurance to the other each party shall provide Performance Assurance to the other party from time to time as provided in the Credit Support Annex, the provisions of any and all of which are incorporated herein by this reference.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9.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the Agreement or otherwise, any amounts payable by the Defaulting Party to the non-defaulting party or any of its Affiliates under the Agreement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the Agreement, the non-defaulting party shall not be required to pay to the Defaulting Party any amount under the Agreement until the non-defaulting party receives confirmation satisfactory to it in its reasonable discretion that all obligations of any kind whatsoever of the Defaulting Party to make any payments to the non-defaulting party or any of its Affiliates under the Agreement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10.  </w:t>
      </w:r>
      <w:r>
        <w:rPr>
          <w:rFonts w:cs="Arial Narrow" w:ascii="Arial Narrow" w:hAnsi="Arial Narrow"/>
          <w:b/>
          <w:sz w:val="18"/>
          <w:u w:val="single"/>
        </w:rPr>
        <w:t>Confidentiality</w:t>
      </w:r>
      <w:r>
        <w:rPr>
          <w:rFonts w:cs="Arial Narrow" w:ascii="Arial Narrow" w:hAnsi="Arial Narrow"/>
          <w:sz w:val="18"/>
        </w:rPr>
        <w:t>.  The contents of this Master Agreement and all other documents relating to this Master Agreement, and any information made available by one party or its Credit Support Provider, if any, to the other party or its Credit Support Provider, if any, with respect to the Agreement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11.    </w:t>
      </w:r>
      <w:r>
        <w:rPr>
          <w:rFonts w:cs="Arial Narrow" w:ascii="Arial Narrow" w:hAnsi="Arial Narrow"/>
          <w:b/>
          <w:sz w:val="18"/>
          <w:u w:val="single"/>
        </w:rPr>
        <w:t>Severability</w:t>
      </w:r>
      <w:r>
        <w:rPr>
          <w:rFonts w:cs="Arial Narrow" w:ascii="Arial Narrow" w:hAnsi="Arial Narrow"/>
          <w:sz w:val="18"/>
        </w:rPr>
        <w:t xml:space="preserve">.  If any term, provision, covenant, or condition of this Master Agreement, or the application thereof to any party or circumstance, shall be held to be invalid or unenforceable (in whole or in part) for any reason, the remaining terms, provisions, covenants, and conditions hereof shall continue in full force and effect as if this Master Agreement had been executed with the invalid or unenforceable portion eliminated, so long as this Master Agreement as so modified continues to express, without material change, the original intentions of the parties as to the subject matter of this Master Agreement and the deletion of such portion of this Master Agreement will not substantially impair the respective benefits or expectations of the parties to this Master Agreement;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the introductory paragraph prior to Section 1 or Section 2, 5 or 6 (or any definition or provision in Section 13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12.  </w:t>
      </w:r>
      <w:r>
        <w:rPr>
          <w:rFonts w:cs="Arial Narrow" w:ascii="Arial Narrow" w:hAnsi="Arial Narrow"/>
          <w:b/>
          <w:sz w:val="18"/>
          <w:u w:val="single"/>
        </w:rPr>
        <w:t>Miscellaneous</w:t>
      </w:r>
      <w:r>
        <w:rPr>
          <w:rFonts w:cs="Arial Narrow" w:ascii="Arial Narrow" w:hAnsi="Arial Narrow"/>
          <w:sz w:val="18"/>
        </w:rPr>
        <w:t xml:space="preserve">.  (A) </w:t>
      </w:r>
      <w:r>
        <w:rPr>
          <w:rFonts w:cs="Arial Narrow" w:ascii="Arial Narrow" w:hAnsi="Arial Narrow"/>
          <w:sz w:val="18"/>
          <w:u w:val="single"/>
        </w:rPr>
        <w:t>Governing law</w:t>
      </w:r>
      <w:r>
        <w:rPr>
          <w:rFonts w:cs="Arial Narrow" w:ascii="Arial Narrow" w:hAnsi="Arial Narrow"/>
          <w:sz w:val="18"/>
        </w:rPr>
        <w:t xml:space="preserve">:  The Agreement shall be governed by, interpreted and construed in accordance with the laws of the State of Texas (excluding conflict of laws principles).  (B)(i) </w:t>
      </w:r>
      <w:r>
        <w:rPr>
          <w:rFonts w:cs="Arial Narrow" w:ascii="Arial Narrow" w:hAnsi="Arial Narrow"/>
          <w:sz w:val="18"/>
          <w:u w:val="single"/>
        </w:rPr>
        <w:t>Agreement to arbitrate</w:t>
      </w:r>
      <w:r>
        <w:rPr>
          <w:rFonts w:cs="Arial Narrow" w:ascii="Arial Narrow" w:hAnsi="Arial Narrow"/>
          <w:sz w:val="18"/>
        </w:rPr>
        <w:t>:  Any claim, dispute, and controversy arising out of or relating to the Agreement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(ii)</w:t>
      </w:r>
      <w:r>
        <w:rPr>
          <w:rFonts w:cs="Arial Narrow" w:ascii="Arial Narrow" w:hAnsi="Arial Narrow"/>
          <w:b/>
          <w:sz w:val="18"/>
        </w:rPr>
        <w:t xml:space="preserve"> </w:t>
      </w:r>
      <w:r>
        <w:rPr>
          <w:rFonts w:cs="Arial Narrow" w:ascii="Arial Narrow" w:hAnsi="Arial Narrow"/>
          <w:sz w:val="18"/>
          <w:u w:val="single"/>
        </w:rPr>
        <w:t>Conduct of the arbitration, authority of the arbitrators, and choice of law</w:t>
      </w:r>
      <w:r>
        <w:rPr>
          <w:rFonts w:cs="Arial Narrow" w:ascii="Arial Narrow" w:hAnsi="Arial Narrow"/>
          <w:sz w:val="18"/>
        </w:rPr>
        <w:t xml:space="preserve">: </w:t>
      </w:r>
      <w:r>
        <w:rPr>
          <w:rFonts w:cs="Arial Narrow" w:ascii="Arial Narrow" w:hAnsi="Arial Narrow"/>
          <w:i/>
          <w:sz w:val="18"/>
        </w:rPr>
        <w:t xml:space="preserve"> </w:t>
      </w:r>
      <w:r>
        <w:rPr>
          <w:rFonts w:cs="Arial Narrow" w:ascii="Arial Narrow" w:hAnsi="Arial Narrow"/>
          <w:sz w:val="18"/>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Claims.  (iii)</w:t>
      </w:r>
      <w:r>
        <w:rPr>
          <w:rFonts w:cs="Arial Narrow" w:ascii="Arial Narrow" w:hAnsi="Arial Narrow"/>
          <w:b/>
          <w:sz w:val="18"/>
        </w:rPr>
        <w:t xml:space="preserve"> </w:t>
      </w:r>
      <w:r>
        <w:rPr>
          <w:rFonts w:cs="Arial Narrow" w:ascii="Arial Narrow" w:hAnsi="Arial Narrow"/>
          <w:sz w:val="18"/>
          <w:u w:val="single"/>
        </w:rPr>
        <w:t>Forum for the arbitration and selection of arbitrators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The arbitration proceeding shall be conducted in Houston, Texas.  Within 30 days of the notice of initiation of the arbitration procedure, each party shall select one arbitrator.  The two arbitrators shall select a third arbitrator.  The third arbitrator shall be a person who has over eight years professional experience in over the 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(iv) </w:t>
      </w:r>
      <w:r>
        <w:rPr>
          <w:rFonts w:cs="Arial Narrow" w:ascii="Arial Narrow" w:hAnsi="Arial Narrow"/>
          <w:sz w:val="18"/>
          <w:u w:val="single"/>
        </w:rPr>
        <w:t>Confidentiality</w:t>
      </w:r>
      <w:r>
        <w:rPr>
          <w:rFonts w:cs="Arial Narrow" w:ascii="Arial Narrow" w:hAnsi="Arial Narrow"/>
          <w:sz w:val="18"/>
        </w:rPr>
        <w:t xml:space="preserve">:  To the fullest extent permitted by law, any arbitration proceeding and the arbitrators’ award shall be maintained in confidence by the parties.  (C) </w:t>
      </w:r>
      <w:r>
        <w:rPr>
          <w:rFonts w:cs="Arial Narrow" w:ascii="Arial Narrow" w:hAnsi="Arial Narrow"/>
          <w:sz w:val="18"/>
          <w:u w:val="single"/>
        </w:rPr>
        <w:t>Binding effect and assignments</w:t>
      </w:r>
      <w:r>
        <w:rPr>
          <w:rFonts w:cs="Arial Narrow" w:ascii="Arial Narrow" w:hAnsi="Arial Narrow"/>
          <w:sz w:val="18"/>
        </w:rPr>
        <w:t xml:space="preserve">:  The Agreement shall be binding upon and inure to the benefit of the parties and their respective successors and (effective upon scheduled delivery day) permitted assigns; provided, however, that neither party shall have the power to assign or otherwise transfer all or any of its rights or obligations under the Agreement without the prior written consent of the other party, which consent shall not be unreasonably withheld or delayed,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(1) ENA may assign or transfer its rights and obligations to an Affiliate so long as its obligations are either (i) guaranteed pursuant to an Enron Corp. Guaranty, or (ii) supported by Performance Assurance in an amount satisfactory to Counterparty, and any purported assignment or transfer in violation of this provision shall be void and of no force and effect and (2) Counterparty may assign or transfer its rights and obligations to IBC upon the occurrence of an Event of Default hereunder if ENA receives written notice from IBC as designee of Counterparty upon two Business Days after notice of such failure is given to both the Defaulting Party and IBC in accordance with </w:t>
      </w:r>
      <w:r>
        <w:rPr>
          <w:rFonts w:cs="Arial Narrow" w:ascii="Arial Narrow" w:hAnsi="Arial Narrow"/>
          <w:sz w:val="18"/>
          <w:u w:val="single"/>
        </w:rPr>
        <w:t>Exhibit A,</w:t>
      </w:r>
      <w:r>
        <w:rPr>
          <w:rFonts w:cs="Arial Narrow" w:ascii="Arial Narrow" w:hAnsi="Arial Narrow"/>
          <w:sz w:val="18"/>
        </w:rPr>
        <w:t xml:space="preserve"> and the Event of Default is cured in accordance with the terms of this Master Agreement and an assignment is executed by and between ENA and IBC in such form substantially similar to </w:t>
      </w:r>
      <w:r>
        <w:rPr>
          <w:rFonts w:cs="Arial Narrow" w:ascii="Arial Narrow" w:hAnsi="Arial Narrow"/>
          <w:sz w:val="18"/>
          <w:u w:val="single"/>
        </w:rPr>
        <w:t>Exhibit B</w:t>
      </w:r>
      <w:r>
        <w:rPr>
          <w:rFonts w:cs="Arial Narrow" w:ascii="Arial Narrow" w:hAnsi="Arial Narrow"/>
          <w:sz w:val="18"/>
        </w:rPr>
        <w:t xml:space="preserve"> attached hereto.  (D) </w:t>
      </w:r>
      <w:r>
        <w:rPr>
          <w:rFonts w:cs="Arial Narrow" w:ascii="Arial Narrow" w:hAnsi="Arial Narrow"/>
          <w:sz w:val="18"/>
          <w:u w:val="single"/>
        </w:rPr>
        <w:t>Entire agreement; notices; etc.</w:t>
      </w:r>
      <w:r>
        <w:rPr>
          <w:rFonts w:cs="Arial Narrow" w:ascii="Arial Narrow" w:hAnsi="Arial Narrow"/>
          <w:sz w:val="18"/>
        </w:rPr>
        <w:t xml:space="preserve">  The Agreement contains the entire agreement between the parties and supersedes all prior oral or written communications or agreements relating to the subject matter.  All notices in connection with the Agreement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to the address specified in </w:t>
      </w:r>
      <w:r>
        <w:rPr>
          <w:rFonts w:cs="Arial Narrow" w:ascii="Arial Narrow" w:hAnsi="Arial Narrow"/>
          <w:sz w:val="18"/>
          <w:u w:val="single"/>
        </w:rPr>
        <w:t>Exhibit A</w:t>
      </w:r>
      <w:r>
        <w:rPr>
          <w:rFonts w:cs="Arial Narrow" w:ascii="Arial Narrow" w:hAnsi="Arial Narrow"/>
          <w:sz w:val="18"/>
        </w:rPr>
        <w:t xml:space="preserve"> or as may be subsequently designated by effective notice.  The Agreement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the Agreement.  (E) </w:t>
      </w:r>
      <w:r>
        <w:rPr>
          <w:rFonts w:cs="Arial Narrow" w:ascii="Arial Narrow" w:hAnsi="Arial Narrow"/>
          <w:sz w:val="18"/>
          <w:u w:val="single"/>
        </w:rPr>
        <w:t>Documents to be delivered</w:t>
      </w:r>
      <w:r>
        <w:rPr>
          <w:rFonts w:cs="Arial Narrow" w:ascii="Arial Narrow" w:hAnsi="Arial Narrow"/>
          <w:sz w:val="18"/>
        </w:rPr>
        <w:t xml:space="preserve">:  Concurrently with the execution and delivery of this Master Agreement and any Credit Support Documents, each party shall furnish to the other party the following documents in form and substance satisfactory to the other party: (i) a certificate or certificates as to the incumbency and specimen signatures of its and its Credit Support Provider's, if any, officers or other authorized representatives executing this Master Agreement and any Credit Support Documents; (ii) certified copies of the resolutions (or comparable document) of its and its Credit Support Provider's, if any, Board of Directors (or other comparable governing body) authorizing the execution and delivery of this Master Agreement and any Credit Support Documents to which it (or its Credit Support Provider, if any) is a party; and (iii) certified copies of each party’s and its Credit Support Provider’s (if any) articles of incorporation and bylaws (or in the case of Party B, its Certificate of Limited Partnership and its Agreement of Limited Partnership).  Each party shall upon written request of the other party, deliver to such party (1) as soon as available and in any event within 120 days after the end of each of its fiscal years, a copy of its or its Credit Support Provider’s annual report containing consolidated financial statements for such fiscal year certified by independent public accountants and prepared in accordance with generally accepted accounting principles, and (2) as soon as available and in any event within 60 days after the end of each of its first three fiscal quarters of each fiscal year, copies of its or its Credit Support Provider’s quarterly reports containing unaudited consolidated financial statements for such fiscal quarter prepared in accordance with generally accepted accounting principles.  With respect to any Transaction, each party shall, upon request, furnish to the other party as soon as practicable such other documents as the other party shall reasonably request.  (F) </w:t>
      </w:r>
      <w:r>
        <w:rPr>
          <w:rFonts w:cs="Arial Narrow" w:ascii="Arial Narrow" w:hAnsi="Arial Narrow"/>
          <w:sz w:val="18"/>
          <w:u w:val="single"/>
        </w:rPr>
        <w:t>Survival</w:t>
      </w:r>
      <w:r>
        <w:rPr>
          <w:rFonts w:cs="Arial Narrow" w:ascii="Arial Narrow" w:hAnsi="Arial Narrow"/>
          <w:sz w:val="18"/>
        </w:rPr>
        <w:t xml:space="preserve">:  Except to the extent otherwise provided in Section 6 as to certain payment obligations terminated under a Transaction that has been terminated, the obligations of the parties under the Agreement shall survive the termination of any Transaction, and the provisions of the Agreement shall continue to be effective until the parties otherwise agree in writing.  (G) </w:t>
      </w:r>
      <w:r>
        <w:rPr>
          <w:rFonts w:cs="Arial Narrow" w:ascii="Arial Narrow" w:hAnsi="Arial Narrow"/>
          <w:sz w:val="18"/>
          <w:u w:val="single"/>
        </w:rPr>
        <w:t>Assignment of Right to Receive Proceeds</w:t>
      </w:r>
      <w:r>
        <w:rPr>
          <w:rFonts w:cs="Arial Narrow" w:ascii="Arial Narrow" w:hAnsi="Arial Narrow"/>
          <w:sz w:val="18"/>
        </w:rPr>
        <w:t xml:space="preserve">.  Counterparty may assign its right to receive proceeds to IBC under any Transaction hereunder if ENA receives notice from IBC as designee of Counterparty directing ENA to tender all payments under a Transaction(s) to IBC to the address specified in </w:t>
      </w:r>
      <w:r>
        <w:rPr>
          <w:rFonts w:cs="Arial Narrow" w:ascii="Arial Narrow" w:hAnsi="Arial Narrow"/>
          <w:sz w:val="18"/>
          <w:u w:val="single"/>
        </w:rPr>
        <w:t>Exhibit A</w:t>
      </w:r>
      <w:r>
        <w:rPr>
          <w:rFonts w:cs="Arial Narrow" w:ascii="Arial Narrow" w:hAnsi="Arial Narrow"/>
          <w:sz w:val="18"/>
        </w:rPr>
        <w:t xml:space="preserve"> and such notice shall be in the form substantially similar to </w:t>
      </w:r>
      <w:r>
        <w:rPr>
          <w:rFonts w:cs="Arial Narrow" w:ascii="Arial Narrow" w:hAnsi="Arial Narrow"/>
          <w:sz w:val="18"/>
          <w:u w:val="single"/>
        </w:rPr>
        <w:t>Exhibit C</w:t>
      </w:r>
      <w:r>
        <w:rPr>
          <w:rFonts w:cs="Arial Narrow" w:ascii="Arial Narrow" w:hAnsi="Arial Narrow"/>
          <w:sz w:val="18"/>
        </w:rPr>
        <w:t xml:space="preserve"> attached hereto.</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13.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Master Agreement, shall have the meanings given such terms in the relevant Confirmation.  As used in the Agreement: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shall mean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shall mean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shall mean,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shall mean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Calculation of a Cash Settlement Amount</w:t>
      </w:r>
      <w:r>
        <w:rPr>
          <w:rFonts w:cs="Arial Narrow" w:ascii="Arial Narrow" w:hAnsi="Arial Narrow"/>
          <w:sz w:val="18"/>
        </w:rPr>
        <w:t>" shall mean, as to any Option to which a Cash Settlement is deemed to be applicable, unless the parties otherwise specify in a Confirmation, the Cash Settlement Amount in respect of an Option payable by a party on a Payment Date, which shall equal (1) in respect of an Option other than a Swaption, an amount, if any, calculated on a formula basis for that Payment Date as follows:  Cash Settlement Amount = Notional Quantity X Strike Price Differential or (2) in respect of a Swaption, an amount, if any, determined by a method specified in or pursuant to the relevant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shall mean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shall mean,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Costs</w:t>
      </w:r>
      <w:r>
        <w:rPr>
          <w:rFonts w:cs="Arial Narrow" w:ascii="Arial Narrow" w:hAnsi="Arial Narrow"/>
          <w:sz w:val="18"/>
        </w:rPr>
        <w:t>"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terminated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Credit Support Annex</w:t>
      </w:r>
      <w:r>
        <w:rPr>
          <w:rFonts w:cs="Arial Narrow" w:ascii="Arial Narrow" w:hAnsi="Arial Narrow"/>
          <w:i/>
          <w:sz w:val="18"/>
        </w:rPr>
        <w:t>"</w:t>
      </w:r>
      <w:r>
        <w:rPr>
          <w:rFonts w:cs="Arial Narrow" w:ascii="Arial Narrow" w:hAnsi="Arial Narrow"/>
          <w:sz w:val="18"/>
        </w:rPr>
        <w:t xml:space="preserve"> shall mean the </w:t>
      </w:r>
      <w:r>
        <w:rPr>
          <w:rFonts w:cs="Arial Narrow" w:ascii="Arial Narrow" w:hAnsi="Arial Narrow"/>
          <w:sz w:val="18"/>
          <w:u w:val="single"/>
        </w:rPr>
        <w:t>Annex A</w:t>
      </w:r>
      <w:r>
        <w:rPr>
          <w:rFonts w:cs="Arial Narrow" w:ascii="Arial Narrow" w:hAnsi="Arial Narrow"/>
          <w:sz w:val="18"/>
        </w:rPr>
        <w:t xml:space="preserve"> attached to this Master Agreement and made a part hereof.  The Credit Support Annex shall prevail in the event of any inconsistency between it and the provisions of any agreement, annex or schedule relating to the requirements for the delivery and maintenance of Performance Assurance that is part of any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Credit Support Documents</w:t>
      </w:r>
      <w:r>
        <w:rPr>
          <w:rFonts w:cs="Arial Narrow" w:ascii="Arial Narrow" w:hAnsi="Arial Narrow"/>
          <w:i/>
          <w:sz w:val="18"/>
        </w:rPr>
        <w:t>"</w:t>
      </w:r>
      <w:r>
        <w:rPr>
          <w:rFonts w:cs="Arial Narrow" w:ascii="Arial Narrow" w:hAnsi="Arial Narrow"/>
          <w:sz w:val="18"/>
        </w:rPr>
        <w:t xml:space="preserve"> shall mean any Guaranty, letter of credit, security agreement, the Credit Support Annex, and any other credit support document required by, or provided pursuant to, the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Credit Support Provide</w:t>
      </w:r>
      <w:r>
        <w:rPr>
          <w:rFonts w:cs="Arial Narrow" w:ascii="Arial Narrow" w:hAnsi="Arial Narrow"/>
          <w:i/>
          <w:sz w:val="18"/>
        </w:rPr>
        <w:t>r"</w:t>
      </w:r>
      <w:r>
        <w:rPr>
          <w:rFonts w:cs="Arial Narrow" w:ascii="Arial Narrow" w:hAnsi="Arial Narrow"/>
          <w:sz w:val="18"/>
        </w:rPr>
        <w:t xml:space="preserve"> shall mean, with respect to ENA, Enron Corp., and with respect to Counterparty, not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shall mean each period specified as such in the Confirmation from and including the first date specified as being included in such period to and including the last date specified as being included in such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Event of Change</w:t>
      </w:r>
      <w:r>
        <w:rPr>
          <w:rFonts w:cs="Arial Narrow" w:ascii="Arial Narrow" w:hAnsi="Arial Narrow"/>
          <w:i/>
          <w:sz w:val="18"/>
        </w:rPr>
        <w:t>"</w:t>
      </w:r>
      <w:r>
        <w:rPr>
          <w:rFonts w:cs="Arial Narrow" w:ascii="Arial Narrow" w:hAnsi="Arial Narrow"/>
          <w:sz w:val="18"/>
        </w:rPr>
        <w:t xml:space="preserve"> shall mean the enactment, promulgation, execution, or ratification of, or any change in or amendment to, any law, rule, or regulation (or the application or interpretation of any law, rule, or regulation) that occurs after the Trade Date of a Transaction which would result in (i) the imposition of a withholding tax in a material amount by any government or taxing authority upon the making of payments (other than payments of interest) hereunder by either of the parties with respect to such Transaction; or (ii) the performance of any obligation of either of the parties or its Credit Support Provider, if any, under the Agreement being unlawful.</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shall mean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Floating Amoun</w:t>
      </w:r>
      <w:r>
        <w:rPr>
          <w:rFonts w:cs="Arial Narrow" w:ascii="Arial Narrow" w:hAnsi="Arial Narrow"/>
          <w:i/>
          <w:sz w:val="18"/>
        </w:rPr>
        <w:t>t"</w:t>
      </w:r>
      <w:r>
        <w:rPr>
          <w:rFonts w:cs="Arial Narrow" w:ascii="Arial Narrow" w:hAnsi="Arial Narrow"/>
          <w:sz w:val="18"/>
        </w:rPr>
        <w:t xml:space="preserve"> shall mean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shall mean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Gain</w:t>
      </w:r>
      <w:r>
        <w:rPr>
          <w:rFonts w:cs="Arial Narrow" w:ascii="Arial Narrow" w:hAnsi="Arial Narrow"/>
          <w:i/>
          <w:sz w:val="18"/>
        </w:rPr>
        <w:t>"</w:t>
      </w:r>
      <w:r>
        <w:rPr>
          <w:rFonts w:cs="Arial Narrow" w:ascii="Arial Narrow" w:hAnsi="Arial Narrow"/>
          <w:sz w:val="18"/>
        </w:rPr>
        <w:t xml:space="preserve"> shall mean, with respect to a party, an amount equal to the present value of the economic benefit, if any, (exclusive of Costs) to it resulting from the termination of its obligations with respect to a terminated Transaction, determined in a commercially reasonable manner.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xml:space="preserve"> shall mean with respect to ENA, the guaranty dated as of the date hereof by Enron Corp. in favor of Counterparty as beneficiary thereof in the form attached hereto as </w:t>
      </w:r>
      <w:r>
        <w:rPr>
          <w:rFonts w:cs="Arial Narrow" w:ascii="Arial Narrow" w:hAnsi="Arial Narrow"/>
          <w:sz w:val="18"/>
          <w:u w:val="single"/>
        </w:rPr>
        <w:t>Exhibit D</w:t>
      </w:r>
      <w:r>
        <w:rPr>
          <w:rFonts w:cs="Arial Narrow" w:ascii="Arial Narrow" w:hAnsi="Arial Narrow"/>
          <w:sz w:val="18"/>
        </w:rPr>
        <w:t>, and with respect to Counterparty shall be inapplicable.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Insolvency Event</w:t>
      </w:r>
      <w:r>
        <w:rPr>
          <w:rFonts w:cs="Arial Narrow" w:ascii="Arial Narrow" w:hAnsi="Arial Narrow"/>
          <w:i/>
          <w:sz w:val="18"/>
        </w:rPr>
        <w:t>"</w:t>
      </w:r>
      <w:r>
        <w:rPr>
          <w:rFonts w:cs="Arial Narrow" w:ascii="Arial Narrow" w:hAnsi="Arial Narrow"/>
          <w:sz w:val="18"/>
        </w:rPr>
        <w:t xml:space="preserve"> shall mean, with respect to any party, any of the following:  (1) the party or its Credit Support Provider, if any, is insolvent, or generally does not or is not able to pay its debts as they become due, or admits in writing its inability to pay its debts generally as they become due; (2) the party or its Credit Support Provider, if any, applies for or consents to the appointment of a receiver, custodian, conservator, trustee, liquidator, administrator, or other similar official for itself or for all or a substantial part of its property, makes a general assignment for the benefit of its creditors, commences a proceeding under applicable bankruptcy law or other law for the relief of debtors, files a petition seeking to take advantage of any other law relating to bankruptcy, insolvency, reorganization, winding-up, or composition or readjustment of debts, or, a trustee, custodian, conservator, receiver or similar official is appointed for it, or for a substantial part of its property; (3) the party or its Credit Support Provider, if any, consents to the dissolution or winding up of its affairs (other than pursuant to a consolidation, amalgamation, or merger); (4) the party or its Credit Support Provider, if any, takes any corporate or other appropriate organizational action to authorize any of the actions described in clauses (1), (2) or (3) above; or (5) any involuntary bankruptcy, reorganization, debt arrangement, or other proceeding under any applicable bankruptcy, insolvency or other similar law for the relief of debtors or any dissolution or liquidation proceeding is instituted against the party, or any material event comparable to any of the foregoing occurs, and the party or its Credit Support Provider, if any, fails to controvert such proceeding in a timely and appropriate manner or such proceeding is consented to or acquiesced in by the party or remains for 30 days undismissed, or an order for relief against the party or its Credit Support Provider, if any, is entered under applicable bankruptcy law or other law for the relief of debtors.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shall mean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shall not exceed the maximum lawful rate under applicable law.</w:t>
      </w:r>
    </w:p>
    <w:p>
      <w:pPr>
        <w:pStyle w:val="Normal"/>
        <w:jc w:val="both"/>
        <w:rPr>
          <w:rFonts w:ascii="Arial Narrow" w:hAnsi="Arial Narrow" w:cs="Arial Narrow"/>
          <w:i/>
          <w:i/>
          <w:sz w:val="18"/>
        </w:rPr>
      </w:pPr>
      <w:r>
        <w:rPr>
          <w:rFonts w:cs="Arial Narrow" w:ascii="Arial Narrow" w:hAnsi="Arial Narrow"/>
          <w:i/>
          <w:sz w:val="18"/>
        </w:rPr>
      </w:r>
    </w:p>
    <w:p>
      <w:pPr>
        <w:pStyle w:val="Normal"/>
        <w:jc w:val="both"/>
        <w:rPr/>
      </w:pPr>
      <w:r>
        <w:rPr>
          <w:rFonts w:cs="Arial Narrow" w:ascii="Arial Narrow" w:hAnsi="Arial Narrow"/>
          <w:i/>
          <w:sz w:val="18"/>
        </w:rPr>
        <w:t>"</w:t>
      </w:r>
      <w:r>
        <w:rPr>
          <w:rFonts w:cs="Arial Narrow" w:ascii="Arial Narrow" w:hAnsi="Arial Narrow"/>
          <w:i/>
          <w:sz w:val="18"/>
          <w:u w:val="single"/>
        </w:rPr>
        <w:t>Loss</w:t>
      </w:r>
      <w:r>
        <w:rPr>
          <w:rFonts w:cs="Arial Narrow" w:ascii="Arial Narrow" w:hAnsi="Arial Narrow"/>
          <w:sz w:val="18"/>
        </w:rPr>
        <w:t>" shall mean, with respect to a party, an amount equal to the present value of the economic loss, if any, (exclusive of Costs) to it resulting from the termination of its obligations with respect to a terminated Transaction, determined in a commercially reasonable manner.  A party shall determine its Loss as of the relevant Early Termination Date or Accelerated Termination Date or, if that is not reasonably practicable, as of the earliest date thereafter as is reasonably practicable.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shall mean,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Merger Event</w:t>
      </w:r>
      <w:r>
        <w:rPr>
          <w:rFonts w:cs="Arial Narrow" w:ascii="Arial Narrow" w:hAnsi="Arial Narrow"/>
          <w:i/>
          <w:sz w:val="18"/>
        </w:rPr>
        <w:t>"</w:t>
      </w:r>
      <w:r>
        <w:rPr>
          <w:rFonts w:cs="Arial Narrow" w:ascii="Arial Narrow" w:hAnsi="Arial Narrow"/>
          <w:sz w:val="18"/>
        </w:rPr>
        <w:t xml:space="preserve"> shall mean, with respect to a party or its Credit Support Provider, if any (in each case, "X"), the consolidation or amalgamation with, merger with or into, or transfer of all or substantially all of its assets to, another entity and (1) at the time of such consolidation, amalgamation, merger or transfer, the resulting, surviving or transferee entity fails to assume all the obligations of X under the Agreement or any Credit Support Document to which it or its predecessor was a party by operation of law or pursuant to an agreement reasonably satisfactory to the other party; (2) the creditworthiness of the resulting, surviving or transferee entity is materially weaker, in the reasonable opinion of the other party, than that of X, immediately prior to such action; or (3) at the time of such consolidation, amalgamation, merger or transfer, the benefits of any Credit Support Document fail to extend (without the consent of the other party) to the performance by such resulting, surviving or transferee entity of the obligations of X under the Agreement; provided, however, that the events specified in this definition shall not constitute a "Merger Event" with respect to ENA or Counterparty, as the case may be (the "Affected Party") if (i) the resulting, surviving or transferee entity of such Affected Party assumes all of the obligations of such Affected Party under the Agreement by operation of law or pursuant to an agreement reasonably satisfactory to the other party and (ii) the resulting, surviving or transferee entity is incorporated in the United States and is directly or indirectly owned by the Affected Party's Credit Support Provider, if any, and all Credit Support Documents provided by such Credit Support Provider, if any, remain in full force and effect after such event, or the Affected Party establishes and maintains Performance Assurance, in an amount satisfactory to the other party within two (2) Business Days of such party’s written request.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Option</w:t>
      </w:r>
      <w:r>
        <w:rPr>
          <w:rFonts w:cs="Arial Narrow" w:ascii="Arial Narrow" w:hAnsi="Arial Narrow"/>
          <w:i/>
          <w:sz w:val="18"/>
        </w:rPr>
        <w:t>"</w:t>
      </w:r>
      <w:r>
        <w:rPr>
          <w:rFonts w:cs="Arial Narrow" w:ascii="Arial Narrow" w:hAnsi="Arial Narrow"/>
          <w:sz w:val="18"/>
        </w:rPr>
        <w:t xml:space="preserve"> shall mean any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Payment Date</w:t>
      </w:r>
      <w:r>
        <w:rPr>
          <w:rFonts w:cs="Arial Narrow" w:ascii="Arial Narrow" w:hAnsi="Arial Narrow"/>
          <w:sz w:val="18"/>
        </w:rPr>
        <w:t>" shall mean, with respect to each Transaction, unless otherwise provided in the relevant Confirmation, the fifth (5th) Business Day after the Floating Price is determinable, provided that if the Payment Date is an Accelerated Termination Date or an Early Termination Date, as the case may be, the Payment Date with respect thereto shall be the date amounts are payable pursuant to Sections 6 or 7,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Performance Assurance</w:t>
      </w:r>
      <w:r>
        <w:rPr>
          <w:rFonts w:cs="Arial Narrow" w:ascii="Arial Narrow" w:hAnsi="Arial Narrow"/>
          <w:i/>
          <w:sz w:val="18"/>
        </w:rPr>
        <w:t>"</w:t>
      </w:r>
      <w:r>
        <w:rPr>
          <w:rFonts w:cs="Arial Narrow" w:ascii="Arial Narrow" w:hAnsi="Arial Narrow"/>
          <w:sz w:val="18"/>
        </w:rPr>
        <w:t xml:space="preserve"> shall mean any Eligible Collateral (as defined in the Credit Support Annex) provided in accordance with the provisions of the Credit Support Annex.</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Reference Market-Makers</w:t>
      </w:r>
      <w:r>
        <w:rPr>
          <w:rFonts w:cs="Arial Narrow" w:ascii="Arial Narrow" w:hAnsi="Arial Narrow"/>
          <w:i/>
          <w:sz w:val="18"/>
        </w:rPr>
        <w:t>"</w:t>
      </w:r>
      <w:r>
        <w:rPr>
          <w:rFonts w:cs="Arial Narrow" w:ascii="Arial Narrow" w:hAnsi="Arial Narrow"/>
          <w:sz w:val="18"/>
        </w:rPr>
        <w:t xml:space="preserve"> shall mean four leading dealers in the relevant commodity swap or option market, consisting of two dealers selected by each party in good faith from among dealers of the highest credit standing which satisfy all the criteria that such party applies generally at the time in deciding whether to offer or to make an extension of credit or to enter into transactions similar in nature to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Replacement Transaction</w:t>
      </w:r>
      <w:r>
        <w:rPr>
          <w:rFonts w:cs="Arial Narrow" w:ascii="Arial Narrow" w:hAnsi="Arial Narrow"/>
          <w:sz w:val="18"/>
        </w:rPr>
        <w:t>" shall mean such other Transaction, commencing on the Accelerated Termination Date which, if entered into by ENA or Counterparty, would have the effect of preserving the economic equivalent of the payment obligations and rights of the parties under a terminated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Swap</w:t>
      </w:r>
      <w:r>
        <w:rPr>
          <w:rFonts w:cs="Arial Narrow" w:ascii="Arial Narrow" w:hAnsi="Arial Narrow"/>
          <w:i/>
          <w:sz w:val="18"/>
        </w:rPr>
        <w:t>"</w:t>
      </w:r>
      <w:r>
        <w:rPr>
          <w:rFonts w:cs="Arial Narrow" w:ascii="Arial Narrow" w:hAnsi="Arial Narrow"/>
          <w:sz w:val="18"/>
        </w:rPr>
        <w:t xml:space="preserve"> shall mean a Transaction in which the Floating Price Payor makes a cash payment to the Fixed Price Payor in respect of a Determination Period in which the Floating Amount exceeds the Fixed Amount, or a Transaction in which the Fixed Price Payor makes a cash payment to the Floating Price Payor in respect of a Determination Period in which the Fixed Amount exceeds the Floating Amount.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shall mean in respect of a Swaption, a Transaction, the terms of which are identified in the Confirmation, which Transaction will not become effective unless the right to cause that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Unpaid Amounts</w:t>
      </w:r>
      <w:r>
        <w:rPr>
          <w:rFonts w:cs="Arial Narrow" w:ascii="Arial Narrow" w:hAnsi="Arial Narrow"/>
          <w:sz w:val="18"/>
        </w:rPr>
        <w:t>" shall mean any unpaid amount or amounts that became due and payable with respect to any Determination Period that ended on or before any Accelerated Termination Date or Early Termination Date, as the case may be.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shall mean,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keepNext w:val="true"/>
        <w:ind w:firstLine="720" w:end="0"/>
        <w:jc w:val="both"/>
        <w:rPr>
          <w:rFonts w:ascii="Arial Narrow" w:hAnsi="Arial Narrow" w:cs="Arial Narrow"/>
          <w:sz w:val="18"/>
        </w:rPr>
      </w:pPr>
      <w:r>
        <w:rPr>
          <w:rFonts w:cs="Arial Narrow" w:ascii="Arial Narrow" w:hAnsi="Arial Narrow"/>
          <w:sz w:val="18"/>
        </w:rPr>
        <w:t>IN WITNESS WHEREOF, the parties hereto have executed and delivered this Master Agreement effective as of the date first above written.</w:t>
      </w:r>
    </w:p>
    <w:p>
      <w:pPr>
        <w:pStyle w:val="Normal"/>
        <w:keepNext w:val="true"/>
        <w:jc w:val="both"/>
        <w:rPr>
          <w:rFonts w:ascii="Arial Narrow" w:hAnsi="Arial Narrow" w:cs="Arial Narrow"/>
          <w:sz w:val="18"/>
        </w:rPr>
      </w:pPr>
      <w:r>
        <w:rPr>
          <w:rFonts w:cs="Arial Narrow" w:ascii="Arial Narrow" w:hAnsi="Arial Narrow"/>
          <w:sz w:val="18"/>
        </w:rPr>
      </w:r>
    </w:p>
    <w:tbl>
      <w:tblPr>
        <w:tblW w:w="4559" w:type="dxa"/>
        <w:jc w:val="start"/>
        <w:tblInd w:w="0" w:type="dxa"/>
        <w:tblLayout w:type="fixed"/>
        <w:tblCellMar>
          <w:top w:w="0" w:type="dxa"/>
          <w:start w:w="108" w:type="dxa"/>
          <w:bottom w:w="0" w:type="dxa"/>
          <w:end w:w="108" w:type="dxa"/>
        </w:tblCellMar>
      </w:tblPr>
      <w:tblGrid>
        <w:gridCol w:w="4559"/>
      </w:tblGrid>
      <w:tr>
        <w:trPr/>
        <w:tc>
          <w:tcPr>
            <w:tcW w:w="4559" w:type="dxa"/>
            <w:tcBorders/>
          </w:tcPr>
          <w:p>
            <w:pPr>
              <w:pStyle w:val="Normal"/>
              <w:jc w:val="both"/>
              <w:rPr>
                <w:rFonts w:ascii="Arial Narrow" w:hAnsi="Arial Narrow" w:cs="Arial Narrow"/>
                <w:b/>
                <w:sz w:val="18"/>
              </w:rPr>
            </w:pPr>
            <w:r>
              <w:rPr>
                <w:rFonts w:cs="Arial Narrow" w:ascii="Arial Narrow" w:hAnsi="Arial Narrow"/>
                <w:b/>
                <w:sz w:val="18"/>
              </w:rPr>
              <w:t>ENRON NORTH AMERICA CORP.</w:t>
            </w:r>
          </w:p>
          <w:p>
            <w:pPr>
              <w:pStyle w:val="Normal"/>
              <w:jc w:val="both"/>
              <w:rPr>
                <w:rFonts w:ascii="Arial Narrow" w:hAnsi="Arial Narrow" w:cs="Arial Narrow"/>
                <w:b/>
                <w:sz w:val="18"/>
              </w:rPr>
            </w:pPr>
            <w:r>
              <w:rPr>
                <w:rFonts w:cs="Arial Narrow" w:ascii="Arial Narrow" w:hAnsi="Arial Narrow"/>
                <w:b/>
                <w:sz w:val="18"/>
              </w:rPr>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pPr>
            <w:r>
              <w:rPr>
                <w:rFonts w:cs="Arial Narrow" w:ascii="Arial Narrow" w:hAnsi="Arial Narrow"/>
                <w:sz w:val="18"/>
              </w:rPr>
              <w:t>By:</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Name:</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Title:</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Date:</w:t>
              <w:tab/>
            </w:r>
            <w:r>
              <w:rPr>
                <w:rFonts w:cs="Arial Narrow" w:ascii="Arial Narrow" w:hAnsi="Arial Narrow"/>
                <w:sz w:val="18"/>
                <w:u w:val="single"/>
              </w:rPr>
              <w:tab/>
              <w:tab/>
              <w:tab/>
              <w:tab/>
              <w:tab/>
            </w:r>
          </w:p>
        </w:tc>
      </w:tr>
    </w:tbl>
    <w:p>
      <w:pPr>
        <w:pStyle w:val="Normal"/>
        <w:keepNext w:val="true"/>
        <w:jc w:val="both"/>
        <w:rPr>
          <w:rFonts w:ascii="Arial Narrow" w:hAnsi="Arial Narrow" w:cs="Arial Narrow"/>
          <w:sz w:val="18"/>
        </w:rPr>
      </w:pPr>
      <w:r>
        <w:rPr>
          <w:rFonts w:cs="Arial Narrow" w:ascii="Arial Narrow" w:hAnsi="Arial Narrow"/>
          <w:sz w:val="18"/>
        </w:rPr>
      </w:r>
    </w:p>
    <w:p>
      <w:pPr>
        <w:pStyle w:val="Normal"/>
        <w:keepNext w:val="true"/>
        <w:jc w:val="both"/>
        <w:rPr>
          <w:rFonts w:ascii="Arial Narrow" w:hAnsi="Arial Narrow" w:cs="Arial Narrow"/>
          <w:sz w:val="18"/>
        </w:rPr>
      </w:pPr>
      <w:r>
        <w:rPr>
          <w:rFonts w:cs="Arial Narrow" w:ascii="Arial Narrow" w:hAnsi="Arial Narrow"/>
          <w:sz w:val="18"/>
        </w:rPr>
      </w:r>
    </w:p>
    <w:tbl>
      <w:tblPr>
        <w:tblW w:w="4518" w:type="dxa"/>
        <w:jc w:val="start"/>
        <w:tblInd w:w="0" w:type="dxa"/>
        <w:tblLayout w:type="fixed"/>
        <w:tblCellMar>
          <w:top w:w="0" w:type="dxa"/>
          <w:start w:w="108" w:type="dxa"/>
          <w:bottom w:w="0" w:type="dxa"/>
          <w:end w:w="108" w:type="dxa"/>
        </w:tblCellMar>
      </w:tblPr>
      <w:tblGrid>
        <w:gridCol w:w="4518"/>
      </w:tblGrid>
      <w:tr>
        <w:trPr/>
        <w:tc>
          <w:tcPr>
            <w:tcW w:w="4518" w:type="dxa"/>
            <w:tcBorders/>
          </w:tcPr>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Narrow" w:hAnsi="Arial Narrow" w:cs="Arial Narrow"/>
                <w:b/>
                <w:sz w:val="18"/>
              </w:rPr>
            </w:pPr>
            <w:r>
              <w:rPr>
                <w:rFonts w:cs="Arial Narrow" w:ascii="Arial Narrow" w:hAnsi="Arial Narrow"/>
                <w:b/>
                <w:sz w:val="18"/>
              </w:rPr>
              <w:t>STATEX  PETROLEUM I, L.P.</w:t>
            </w:r>
          </w:p>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s>
              <w:jc w:val="both"/>
              <w:rPr/>
            </w:pPr>
            <w:r>
              <w:rPr>
                <w:rFonts w:cs="Arial Narrow" w:ascii="Arial Narrow" w:hAnsi="Arial Narrow"/>
                <w:b/>
                <w:sz w:val="18"/>
              </w:rPr>
              <w:t xml:space="preserve">By:  </w:t>
            </w:r>
            <w:r>
              <w:rPr>
                <w:rFonts w:cs="Arial Narrow" w:ascii="Arial Narrow" w:hAnsi="Arial Narrow"/>
                <w:b/>
                <w:sz w:val="18"/>
                <w:u w:val="single"/>
              </w:rPr>
              <w:t>_______________________________________</w:t>
            </w:r>
          </w:p>
          <w:p>
            <w:pPr>
              <w:pStyle w:val="Heading4"/>
              <w:ind w:hanging="0" w:start="0"/>
              <w:rPr/>
            </w:pPr>
            <w:r>
              <w:rPr>
                <w:rFonts w:eastAsia="Arial Narrow"/>
              </w:rPr>
              <w:t xml:space="preserve">        </w:t>
            </w:r>
            <w:r>
              <w:rPr/>
              <w:t>Its General Partner</w:t>
            </w:r>
          </w:p>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pPr>
            <w:r>
              <w:rPr>
                <w:rFonts w:cs="Arial Narrow" w:ascii="Arial Narrow" w:hAnsi="Arial Narrow"/>
                <w:sz w:val="18"/>
              </w:rPr>
              <w:t>By:</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pPr>
            <w:r>
              <w:rPr>
                <w:rFonts w:cs="Arial Narrow" w:ascii="Arial Narrow" w:hAnsi="Arial Narrow"/>
                <w:sz w:val="18"/>
              </w:rPr>
              <w:t xml:space="preserve">Name: </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Title:</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Date:</w:t>
              <w:tab/>
            </w:r>
            <w:r>
              <w:rPr>
                <w:rFonts w:cs="Arial Narrow" w:ascii="Arial Narrow" w:hAnsi="Arial Narrow"/>
                <w:sz w:val="18"/>
                <w:u w:val="single"/>
              </w:rPr>
              <w:tab/>
              <w:tab/>
              <w:tab/>
              <w:tab/>
              <w:tab/>
            </w:r>
          </w:p>
        </w:tc>
      </w:tr>
    </w:tbl>
    <w:p>
      <w:pPr>
        <w:pStyle w:val="Normal"/>
        <w:tabs>
          <w:tab w:val="left" w:pos="720" w:leader="none"/>
          <w:tab w:val="left" w:pos="1080" w:leader="none"/>
          <w:tab w:val="left" w:pos="2880" w:leader="none"/>
          <w:tab w:val="left" w:pos="3600" w:leader="none"/>
          <w:tab w:val="left" w:pos="4320" w:leader="none"/>
          <w:tab w:val="left" w:pos="9180" w:leader="dot"/>
          <w:tab w:val="right" w:pos="9540" w:leader="none"/>
        </w:tabs>
        <w:rPr>
          <w:rFonts w:ascii="Arial Narrow" w:hAnsi="Arial Narrow" w:cs="Arial Narrow"/>
          <w:sz w:val="18"/>
        </w:rPr>
      </w:pPr>
      <w:r>
        <w:rPr>
          <w:rFonts w:cs="Arial Narrow" w:ascii="Arial Narrow" w:hAnsi="Arial Narrow"/>
          <w:sz w:val="18"/>
        </w:rPr>
      </w:r>
    </w:p>
    <w:p>
      <w:pPr>
        <w:pStyle w:val="Normal"/>
        <w:tabs>
          <w:tab w:val="left" w:pos="720" w:leader="none"/>
          <w:tab w:val="left" w:pos="1080" w:leader="none"/>
          <w:tab w:val="left" w:pos="2880" w:leader="none"/>
          <w:tab w:val="left" w:pos="3600" w:leader="none"/>
          <w:tab w:val="left" w:pos="4320" w:leader="none"/>
          <w:tab w:val="left" w:pos="9180" w:leader="dot"/>
          <w:tab w:val="right" w:pos="9540" w:leader="none"/>
        </w:tabs>
        <w:rPr>
          <w:rFonts w:ascii="Arial Narrow" w:hAnsi="Arial Narrow" w:cs="Arial Narrow"/>
          <w:sz w:val="18"/>
        </w:rPr>
      </w:pPr>
      <w:r>
        <w:rPr>
          <w:rFonts w:cs="Arial Narrow" w:ascii="Arial Narrow" w:hAnsi="Arial Narrow"/>
          <w:sz w:val="18"/>
        </w:rPr>
      </w:r>
    </w:p>
    <w:p>
      <w:pPr>
        <w:pStyle w:val="Normal"/>
        <w:tabs>
          <w:tab w:val="left" w:pos="720" w:leader="none"/>
          <w:tab w:val="left" w:pos="1080" w:leader="none"/>
          <w:tab w:val="left" w:pos="2880" w:leader="none"/>
          <w:tab w:val="left" w:pos="3600" w:leader="none"/>
          <w:tab w:val="left" w:pos="4320" w:leader="none"/>
          <w:tab w:val="left" w:pos="9180" w:leader="dot"/>
          <w:tab w:val="right" w:pos="9540" w:leader="none"/>
        </w:tabs>
        <w:rPr>
          <w:rFonts w:ascii="Arial Narrow" w:hAnsi="Arial Narrow" w:cs="Arial Narrow"/>
          <w:sz w:val="18"/>
        </w:rPr>
      </w:pPr>
      <w:r>
        <w:rPr>
          <w:rFonts w:cs="Arial Narrow" w:ascii="Arial Narrow" w:hAnsi="Arial Narrow"/>
          <w:sz w:val="18"/>
        </w:rPr>
      </w:r>
    </w:p>
    <w:tbl>
      <w:tblPr>
        <w:tblW w:w="4158" w:type="dxa"/>
        <w:jc w:val="start"/>
        <w:tblInd w:w="0" w:type="dxa"/>
        <w:tblLayout w:type="fixed"/>
        <w:tblCellMar>
          <w:top w:w="0" w:type="dxa"/>
          <w:start w:w="108" w:type="dxa"/>
          <w:bottom w:w="0" w:type="dxa"/>
          <w:end w:w="108" w:type="dxa"/>
        </w:tblCellMar>
      </w:tblPr>
      <w:tblGrid>
        <w:gridCol w:w="1368"/>
        <w:gridCol w:w="2790"/>
      </w:tblGrid>
      <w:tr>
        <w:trPr/>
        <w:tc>
          <w:tcPr>
            <w:tcW w:w="1368" w:type="dxa"/>
            <w:tcBorders/>
          </w:tcPr>
          <w:p>
            <w:pPr>
              <w:pStyle w:val="Normal"/>
              <w:rPr>
                <w:rFonts w:ascii="Arial Narrow" w:hAnsi="Arial Narrow" w:cs="Arial Narrow"/>
                <w:sz w:val="18"/>
              </w:rPr>
            </w:pPr>
            <w:r>
              <w:rPr>
                <w:rFonts w:cs="Arial Narrow" w:ascii="Arial Narrow" w:hAnsi="Arial Narrow"/>
                <w:sz w:val="18"/>
              </w:rPr>
              <w:t>EXHIBIT A</w:t>
            </w:r>
          </w:p>
        </w:tc>
        <w:tc>
          <w:tcPr>
            <w:tcW w:w="2790" w:type="dxa"/>
            <w:tcBorders/>
          </w:tcPr>
          <w:p>
            <w:pPr>
              <w:pStyle w:val="Normal"/>
              <w:rPr>
                <w:rFonts w:ascii="Arial Narrow" w:hAnsi="Arial Narrow" w:cs="Arial Narrow"/>
                <w:sz w:val="18"/>
              </w:rPr>
            </w:pPr>
            <w:r>
              <w:rPr>
                <w:rFonts w:cs="Arial Narrow" w:ascii="Arial Narrow" w:hAnsi="Arial Narrow"/>
                <w:sz w:val="18"/>
              </w:rPr>
              <w:t>NOTICE AND COMMUNICATION</w:t>
            </w:r>
          </w:p>
        </w:tc>
      </w:tr>
      <w:tr>
        <w:trPr/>
        <w:tc>
          <w:tcPr>
            <w:tcW w:w="1368" w:type="dxa"/>
            <w:tcBorders/>
          </w:tcPr>
          <w:p>
            <w:pPr>
              <w:pStyle w:val="Normal"/>
              <w:rPr>
                <w:rFonts w:ascii="Arial Narrow" w:hAnsi="Arial Narrow" w:cs="Arial Narrow"/>
                <w:sz w:val="18"/>
              </w:rPr>
            </w:pPr>
            <w:r>
              <w:rPr>
                <w:rFonts w:cs="Arial Narrow" w:ascii="Arial Narrow" w:hAnsi="Arial Narrow"/>
                <w:sz w:val="18"/>
              </w:rPr>
              <w:t>EXHIBIT B</w:t>
            </w:r>
          </w:p>
        </w:tc>
        <w:tc>
          <w:tcPr>
            <w:tcW w:w="2790" w:type="dxa"/>
            <w:tcBorders/>
          </w:tcPr>
          <w:p>
            <w:pPr>
              <w:pStyle w:val="Normal"/>
              <w:rPr>
                <w:rFonts w:ascii="Arial Narrow" w:hAnsi="Arial Narrow" w:cs="Arial Narrow"/>
                <w:sz w:val="18"/>
              </w:rPr>
            </w:pPr>
            <w:r>
              <w:rPr>
                <w:rFonts w:cs="Arial Narrow" w:ascii="Arial Narrow" w:hAnsi="Arial Narrow"/>
                <w:sz w:val="18"/>
              </w:rPr>
              <w:t>ASSIGNMENT AND ASSUMPTION AGREEMENT</w:t>
            </w:r>
          </w:p>
        </w:tc>
      </w:tr>
      <w:tr>
        <w:trPr/>
        <w:tc>
          <w:tcPr>
            <w:tcW w:w="1368" w:type="dxa"/>
            <w:tcBorders/>
          </w:tcPr>
          <w:p>
            <w:pPr>
              <w:pStyle w:val="Normal"/>
              <w:rPr>
                <w:rFonts w:ascii="Arial Narrow" w:hAnsi="Arial Narrow" w:cs="Arial Narrow"/>
                <w:sz w:val="18"/>
              </w:rPr>
            </w:pPr>
            <w:r>
              <w:rPr>
                <w:rFonts w:cs="Arial Narrow" w:ascii="Arial Narrow" w:hAnsi="Arial Narrow"/>
                <w:sz w:val="18"/>
              </w:rPr>
              <w:t>EXHIBIT C</w:t>
            </w:r>
          </w:p>
        </w:tc>
        <w:tc>
          <w:tcPr>
            <w:tcW w:w="2790" w:type="dxa"/>
            <w:tcBorders/>
          </w:tcPr>
          <w:p>
            <w:pPr>
              <w:pStyle w:val="Normal"/>
              <w:rPr>
                <w:rFonts w:ascii="Arial Narrow" w:hAnsi="Arial Narrow" w:cs="Arial Narrow"/>
                <w:sz w:val="18"/>
              </w:rPr>
            </w:pPr>
            <w:r>
              <w:rPr>
                <w:rFonts w:cs="Arial Narrow" w:ascii="Arial Narrow" w:hAnsi="Arial Narrow"/>
                <w:sz w:val="18"/>
              </w:rPr>
              <w:t>ASSIGNMENT OF RIGHT TO RECEIVE PROCEEDS LETTER</w:t>
            </w:r>
          </w:p>
        </w:tc>
      </w:tr>
      <w:tr>
        <w:trPr/>
        <w:tc>
          <w:tcPr>
            <w:tcW w:w="1368" w:type="dxa"/>
            <w:tcBorders/>
          </w:tcPr>
          <w:p>
            <w:pPr>
              <w:pStyle w:val="Normal"/>
              <w:rPr>
                <w:rFonts w:ascii="Arial Narrow" w:hAnsi="Arial Narrow" w:cs="Arial Narrow"/>
                <w:sz w:val="18"/>
              </w:rPr>
            </w:pPr>
            <w:r>
              <w:rPr>
                <w:rFonts w:cs="Arial Narrow" w:ascii="Arial Narrow" w:hAnsi="Arial Narrow"/>
                <w:sz w:val="18"/>
              </w:rPr>
              <w:t>EXHIBIT D</w:t>
            </w:r>
          </w:p>
        </w:tc>
        <w:tc>
          <w:tcPr>
            <w:tcW w:w="2790" w:type="dxa"/>
            <w:tcBorders/>
          </w:tcPr>
          <w:p>
            <w:pPr>
              <w:pStyle w:val="Normal"/>
              <w:rPr>
                <w:rFonts w:ascii="Arial Narrow" w:hAnsi="Arial Narrow" w:cs="Arial Narrow"/>
                <w:sz w:val="18"/>
              </w:rPr>
            </w:pPr>
            <w:r>
              <w:rPr>
                <w:rFonts w:cs="Arial Narrow" w:ascii="Arial Narrow" w:hAnsi="Arial Narrow"/>
                <w:sz w:val="18"/>
              </w:rPr>
              <w:t>GUARANTY (ENA)</w:t>
            </w:r>
          </w:p>
        </w:tc>
      </w:tr>
      <w:tr>
        <w:trPr/>
        <w:tc>
          <w:tcPr>
            <w:tcW w:w="1368" w:type="dxa"/>
            <w:tcBorders/>
          </w:tcPr>
          <w:p>
            <w:pPr>
              <w:pStyle w:val="Normal"/>
              <w:rPr>
                <w:rFonts w:ascii="Arial Narrow" w:hAnsi="Arial Narrow" w:cs="Arial Narrow"/>
                <w:sz w:val="18"/>
              </w:rPr>
            </w:pPr>
            <w:r>
              <w:rPr>
                <w:rFonts w:cs="Arial Narrow" w:ascii="Arial Narrow" w:hAnsi="Arial Narrow"/>
                <w:sz w:val="18"/>
              </w:rPr>
              <w:t>ANNEX A</w:t>
            </w:r>
          </w:p>
        </w:tc>
        <w:tc>
          <w:tcPr>
            <w:tcW w:w="2790" w:type="dxa"/>
            <w:tcBorders/>
          </w:tcPr>
          <w:p>
            <w:pPr>
              <w:pStyle w:val="Normal"/>
              <w:rPr>
                <w:rFonts w:ascii="Arial Narrow" w:hAnsi="Arial Narrow" w:cs="Arial Narrow"/>
                <w:sz w:val="18"/>
              </w:rPr>
            </w:pPr>
            <w:r>
              <w:rPr>
                <w:rFonts w:cs="Arial Narrow" w:ascii="Arial Narrow" w:hAnsi="Arial Narrow"/>
                <w:sz w:val="18"/>
              </w:rPr>
              <w:t>CREDIT SUPPORT ANNEX</w:t>
            </w:r>
          </w:p>
        </w:tc>
      </w:tr>
      <w:tr>
        <w:trPr/>
        <w:tc>
          <w:tcPr>
            <w:tcW w:w="1368" w:type="dxa"/>
            <w:tcBorders/>
          </w:tcPr>
          <w:p>
            <w:pPr>
              <w:pStyle w:val="Normal"/>
              <w:rPr>
                <w:rFonts w:ascii="Arial Narrow" w:hAnsi="Arial Narrow" w:cs="Arial Narrow"/>
                <w:sz w:val="18"/>
              </w:rPr>
            </w:pPr>
            <w:r>
              <w:rPr>
                <w:rFonts w:cs="Arial Narrow" w:ascii="Arial Narrow" w:hAnsi="Arial Narrow"/>
                <w:sz w:val="18"/>
              </w:rPr>
              <w:t>SCHEDULE 1</w:t>
            </w:r>
          </w:p>
        </w:tc>
        <w:tc>
          <w:tcPr>
            <w:tcW w:w="2790" w:type="dxa"/>
            <w:tcBorders/>
          </w:tcPr>
          <w:p>
            <w:pPr>
              <w:pStyle w:val="Normal"/>
              <w:rPr>
                <w:rFonts w:ascii="Arial Narrow" w:hAnsi="Arial Narrow" w:cs="Arial Narrow"/>
                <w:sz w:val="18"/>
              </w:rPr>
            </w:pPr>
            <w:r>
              <w:rPr>
                <w:rFonts w:cs="Arial Narrow" w:ascii="Arial Narrow" w:hAnsi="Arial Narrow"/>
                <w:sz w:val="18"/>
              </w:rPr>
              <w:t>FORM OF LETTER OF CREDIT</w:t>
            </w:r>
          </w:p>
        </w:tc>
      </w:tr>
    </w:tbl>
    <w:p>
      <w:pPr>
        <w:sectPr>
          <w:headerReference w:type="default" r:id="rId2"/>
          <w:headerReference w:type="first" r:id="rId3"/>
          <w:footerReference w:type="default" r:id="rId4"/>
          <w:footerReference w:type="first" r:id="rId5"/>
          <w:type w:val="nextPage"/>
          <w:pgSz w:w="12240" w:h="15840"/>
          <w:pgMar w:left="1008" w:right="1008" w:gutter="0" w:header="720" w:top="1008" w:footer="720" w:bottom="1152"/>
          <w:pgNumType w:start="1" w:fmt="decimal"/>
          <w:cols w:num="2" w:space="708" w:equalWidth="true" w:sep="false"/>
          <w:formProt w:val="false"/>
          <w:titlePg/>
          <w:textDirection w:val="lrTb"/>
          <w:docGrid w:type="default" w:linePitch="360" w:charSpace="0"/>
        </w:sectPr>
      </w:pPr>
    </w:p>
    <w:p>
      <w:pPr>
        <w:pStyle w:val="Normal"/>
        <w:keepNext w:val="true"/>
        <w:tabs>
          <w:tab w:val="clear" w:pos="720"/>
          <w:tab w:val="left" w:pos="5310" w:leader="none"/>
        </w:tabs>
        <w:spacing w:before="480" w:after="0"/>
        <w:jc w:val="center"/>
        <w:rPr/>
      </w:pPr>
      <w:r>
        <w:rPr>
          <w:rFonts w:cs="Arial Narrow" w:ascii="Arial Narrow" w:hAnsi="Arial Narrow"/>
          <w:b/>
          <w:sz w:val="18"/>
        </w:rPr>
        <w:t>EXHIBIT "A"</w:t>
      </w:r>
      <w:r>
        <w:rPr>
          <w:rFonts w:cs="Arial Narrow" w:ascii="Arial Narrow" w:hAnsi="Arial Narrow"/>
          <w:sz w:val="18"/>
        </w:rPr>
        <w:br/>
        <w:t>to</w:t>
        <w:br/>
        <w:t>MASTER AGREEMENT</w:t>
      </w:r>
    </w:p>
    <w:p>
      <w:pPr>
        <w:pStyle w:val="Normal"/>
        <w:keepNext w:val="true"/>
        <w:jc w:val="center"/>
        <w:rPr>
          <w:rFonts w:ascii="Arial Narrow" w:hAnsi="Arial Narrow" w:cs="Arial Narrow"/>
          <w:sz w:val="18"/>
        </w:rPr>
      </w:pPr>
      <w:r>
        <w:rPr>
          <w:rFonts w:cs="Arial Narrow" w:ascii="Arial Narrow" w:hAnsi="Arial Narrow"/>
          <w:sz w:val="18"/>
        </w:rPr>
        <w:t>NOTICE AND COMMUNICATION</w:t>
      </w:r>
    </w:p>
    <w:p>
      <w:pPr>
        <w:pStyle w:val="Normal"/>
        <w:keepNext w:val="true"/>
        <w:jc w:val="center"/>
        <w:rPr>
          <w:rFonts w:ascii="Arial Narrow" w:hAnsi="Arial Narrow" w:cs="Arial Narrow"/>
          <w:sz w:val="18"/>
        </w:rPr>
      </w:pPr>
      <w:r>
        <w:rPr>
          <w:rFonts w:cs="Arial Narrow" w:ascii="Arial Narrow" w:hAnsi="Arial Narrow"/>
          <w:sz w:val="18"/>
        </w:rPr>
      </w:r>
    </w:p>
    <w:tbl>
      <w:tblPr>
        <w:tblW w:w="9974" w:type="dxa"/>
        <w:jc w:val="start"/>
        <w:tblInd w:w="0" w:type="dxa"/>
        <w:tblLayout w:type="fixed"/>
        <w:tblCellMar>
          <w:top w:w="0" w:type="dxa"/>
          <w:start w:w="0" w:type="dxa"/>
          <w:bottom w:w="0" w:type="dxa"/>
          <w:end w:w="0" w:type="dxa"/>
        </w:tblCellMar>
      </w:tblPr>
      <w:tblGrid>
        <w:gridCol w:w="5331"/>
        <w:gridCol w:w="17"/>
        <w:gridCol w:w="4559"/>
        <w:gridCol w:w="66"/>
        <w:gridCol w:w="1"/>
      </w:tblGrid>
      <w:tr>
        <w:trPr/>
        <w:tc>
          <w:tcPr>
            <w:tcW w:w="5331" w:type="dxa"/>
            <w:tcBorders/>
          </w:tcPr>
          <w:p>
            <w:pPr>
              <w:pStyle w:val="Normal"/>
              <w:keepNext w:val="true"/>
              <w:tabs>
                <w:tab w:val="clear" w:pos="720"/>
                <w:tab w:val="left" w:pos="5472" w:leader="none"/>
              </w:tabs>
              <w:jc w:val="both"/>
              <w:rPr>
                <w:rFonts w:ascii="Arial Narrow" w:hAnsi="Arial Narrow" w:cs="Arial Narrow"/>
                <w:sz w:val="18"/>
                <w:u w:val="single"/>
              </w:rPr>
            </w:pPr>
            <w:r>
              <w:rPr>
                <w:rFonts w:cs="Arial Narrow" w:ascii="Arial Narrow" w:hAnsi="Arial Narrow"/>
                <w:sz w:val="18"/>
                <w:u w:val="single"/>
              </w:rPr>
              <w:t>Notice to ENA</w:t>
            </w:r>
            <w:r>
              <w:rPr>
                <w:rFonts w:cs="Arial Narrow" w:ascii="Arial Narrow" w:hAnsi="Arial Narrow"/>
                <w:sz w:val="18"/>
              </w:rPr>
              <w:t>:</w:t>
            </w:r>
          </w:p>
        </w:tc>
        <w:tc>
          <w:tcPr>
            <w:tcW w:w="4642" w:type="dxa"/>
            <w:gridSpan w:val="3"/>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Notice to Counterparty</w:t>
            </w:r>
            <w:r>
              <w:rPr>
                <w:rFonts w:cs="Arial Narrow" w:ascii="Arial Narrow" w:hAnsi="Arial Narrow"/>
                <w:sz w:val="18"/>
              </w:rPr>
              <w:t>:</w:t>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Enron North America Corp.</w:t>
            </w:r>
          </w:p>
        </w:tc>
        <w:tc>
          <w:tcPr>
            <w:tcW w:w="4642" w:type="dxa"/>
            <w:gridSpan w:val="3"/>
            <w:tcBorders/>
          </w:tcPr>
          <w:p>
            <w:pPr>
              <w:pStyle w:val="Normal"/>
              <w:keepNext w:val="true"/>
              <w:jc w:val="both"/>
              <w:rPr>
                <w:rFonts w:ascii="Arial Narrow" w:hAnsi="Arial Narrow" w:cs="Arial Narrow"/>
                <w:sz w:val="18"/>
              </w:rPr>
            </w:pPr>
            <w:r>
              <w:rPr>
                <w:rFonts w:cs="Arial Narrow" w:ascii="Arial Narrow" w:hAnsi="Arial Narrow"/>
                <w:sz w:val="18"/>
              </w:rPr>
              <w:t>Statex Petroleum I, L.P.</w:t>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1400 Smith Street</w:t>
            </w:r>
          </w:p>
        </w:tc>
        <w:tc>
          <w:tcPr>
            <w:tcW w:w="4642" w:type="dxa"/>
            <w:gridSpan w:val="3"/>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Houston, Texas 77002</w:t>
            </w:r>
          </w:p>
        </w:tc>
        <w:tc>
          <w:tcPr>
            <w:tcW w:w="4642" w:type="dxa"/>
            <w:gridSpan w:val="3"/>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Attn.:  Director, Documentation Department</w:t>
            </w:r>
          </w:p>
        </w:tc>
        <w:tc>
          <w:tcPr>
            <w:tcW w:w="4642" w:type="dxa"/>
            <w:gridSpan w:val="3"/>
            <w:tcBorders/>
          </w:tcPr>
          <w:p>
            <w:pPr>
              <w:pStyle w:val="Normal"/>
              <w:keepNext w:val="true"/>
              <w:jc w:val="both"/>
              <w:rPr/>
            </w:pPr>
            <w:r>
              <w:rPr>
                <w:rFonts w:cs="Arial Narrow" w:ascii="Arial Narrow" w:hAnsi="Arial Narrow"/>
                <w:sz w:val="18"/>
              </w:rPr>
              <w:t>Attn.:</w:t>
            </w:r>
            <w:r>
              <w:rPr>
                <w:rFonts w:cs="Arial Narrow" w:ascii="Arial Narrow" w:hAnsi="Arial Narrow"/>
                <w:sz w:val="18"/>
                <w:u w:val="single"/>
              </w:rPr>
              <w:tab/>
              <w:tab/>
              <w:tab/>
              <w:tab/>
              <w:tab/>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Facsimile No. (713) 646-4816</w:t>
            </w:r>
          </w:p>
        </w:tc>
        <w:tc>
          <w:tcPr>
            <w:tcW w:w="4642" w:type="dxa"/>
            <w:gridSpan w:val="3"/>
            <w:tcBorders/>
          </w:tcPr>
          <w:p>
            <w:pPr>
              <w:pStyle w:val="Normal"/>
              <w:keepNext w:val="true"/>
              <w:jc w:val="both"/>
              <w:rPr/>
            </w:pPr>
            <w:r>
              <w:rPr>
                <w:rFonts w:cs="Arial Narrow" w:ascii="Arial Narrow" w:hAnsi="Arial Narrow"/>
                <w:sz w:val="18"/>
              </w:rPr>
              <w:t>Facsimile No.</w:t>
            </w:r>
            <w:r>
              <w:rPr>
                <w:rFonts w:cs="Arial Narrow" w:ascii="Arial Narrow" w:hAnsi="Arial Narrow"/>
                <w:sz w:val="18"/>
                <w:u w:val="single"/>
              </w:rPr>
              <w:tab/>
              <w:tab/>
              <w:tab/>
              <w:tab/>
            </w:r>
          </w:p>
        </w:tc>
      </w:tr>
      <w:tr>
        <w:trPr/>
        <w:tc>
          <w:tcPr>
            <w:tcW w:w="5331" w:type="dxa"/>
            <w:tcBorders/>
          </w:tcPr>
          <w:p>
            <w:pPr>
              <w:pStyle w:val="Normal"/>
              <w:keepNext w:val="true"/>
              <w:tabs>
                <w:tab w:val="clear" w:pos="720"/>
                <w:tab w:val="left" w:pos="5472" w:leader="none"/>
              </w:tabs>
              <w:snapToGrid w:val="false"/>
              <w:jc w:val="both"/>
              <w:rPr>
                <w:rFonts w:ascii="Arial Narrow" w:hAnsi="Arial Narrow" w:cs="Arial Narrow"/>
                <w:sz w:val="18"/>
                <w:u w:val="single"/>
              </w:rPr>
            </w:pPr>
            <w:r>
              <w:rPr>
                <w:rFonts w:cs="Arial Narrow" w:ascii="Arial Narrow" w:hAnsi="Arial Narrow"/>
                <w:sz w:val="18"/>
                <w:u w:val="single"/>
              </w:rPr>
            </w:r>
          </w:p>
        </w:tc>
        <w:tc>
          <w:tcPr>
            <w:tcW w:w="4642" w:type="dxa"/>
            <w:gridSpan w:val="3"/>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u w:val="single"/>
              </w:rPr>
              <w:t>With a copy of any notice given pursuant to Section 5</w:t>
            </w:r>
          </w:p>
        </w:tc>
        <w:tc>
          <w:tcPr>
            <w:tcW w:w="4576"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5331" w:type="dxa"/>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or Annex A to</w:t>
            </w:r>
            <w:r>
              <w:rPr>
                <w:rFonts w:cs="Arial Narrow" w:ascii="Arial Narrow" w:hAnsi="Arial Narrow"/>
                <w:sz w:val="18"/>
              </w:rPr>
              <w:t>:</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Enron North America Corp.</w:t>
            </w:r>
          </w:p>
        </w:tc>
        <w:tc>
          <w:tcPr>
            <w:tcW w:w="4576" w:type="dxa"/>
            <w:gridSpan w:val="2"/>
            <w:tcBorders/>
          </w:tcPr>
          <w:p>
            <w:pPr>
              <w:pStyle w:val="Normal"/>
              <w:keepNext w:val="true"/>
              <w:jc w:val="both"/>
              <w:rPr>
                <w:rFonts w:ascii="Arial Narrow" w:hAnsi="Arial Narrow" w:cs="Arial Narrow"/>
                <w:sz w:val="18"/>
              </w:rPr>
            </w:pPr>
            <w:r>
              <w:rPr>
                <w:rFonts w:cs="Arial Narrow" w:ascii="Arial Narrow" w:hAnsi="Arial Narrow"/>
                <w:sz w:val="18"/>
              </w:rPr>
              <w:t>International Bank of Commerce</w:t>
            </w:r>
          </w:p>
        </w:tc>
        <w:tc>
          <w:tcPr>
            <w:tcW w:w="67" w:type="dxa"/>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5331" w:type="dxa"/>
            <w:tcBorders/>
          </w:tcPr>
          <w:p>
            <w:pPr>
              <w:pStyle w:val="Normal"/>
              <w:keepNext w:val="true"/>
              <w:jc w:val="both"/>
              <w:rPr>
                <w:rFonts w:ascii="Arial Narrow" w:hAnsi="Arial Narrow" w:cs="Arial Narrow"/>
                <w:sz w:val="18"/>
                <w:u w:val="single"/>
              </w:rPr>
            </w:pPr>
            <w:r>
              <w:rPr>
                <w:rFonts w:cs="Arial Narrow" w:ascii="Arial Narrow" w:hAnsi="Arial Narrow"/>
                <w:sz w:val="18"/>
              </w:rPr>
              <w:t>1400 Smith Street</w:t>
            </w:r>
          </w:p>
        </w:tc>
        <w:tc>
          <w:tcPr>
            <w:tcW w:w="4576" w:type="dxa"/>
            <w:gridSpan w:val="2"/>
            <w:tcBorders/>
          </w:tcPr>
          <w:p>
            <w:pPr>
              <w:pStyle w:val="Normal"/>
              <w:keepNext w:val="true"/>
              <w:jc w:val="both"/>
              <w:rPr>
                <w:rFonts w:ascii="Arial Narrow" w:hAnsi="Arial Narrow" w:cs="Arial Narrow"/>
                <w:sz w:val="18"/>
              </w:rPr>
            </w:pPr>
            <w:r>
              <w:rPr>
                <w:rFonts w:cs="Arial Narrow" w:ascii="Arial Narrow" w:hAnsi="Arial Narrow"/>
                <w:sz w:val="18"/>
              </w:rPr>
              <w:t>130 East Travis</w:t>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Houston, Texas 77002</w:t>
            </w:r>
          </w:p>
        </w:tc>
        <w:tc>
          <w:tcPr>
            <w:tcW w:w="4576" w:type="dxa"/>
            <w:gridSpan w:val="2"/>
            <w:tcBorders/>
          </w:tcPr>
          <w:p>
            <w:pPr>
              <w:pStyle w:val="Normal"/>
              <w:keepNext w:val="true"/>
              <w:jc w:val="both"/>
              <w:rPr>
                <w:rFonts w:ascii="Arial Narrow" w:hAnsi="Arial Narrow" w:cs="Arial Narrow"/>
                <w:sz w:val="18"/>
              </w:rPr>
            </w:pPr>
            <w:r>
              <w:rPr>
                <w:rFonts w:cs="Arial Narrow" w:ascii="Arial Narrow" w:hAnsi="Arial Narrow"/>
                <w:sz w:val="18"/>
              </w:rPr>
              <w:t>San Antonio, Texas  78205</w:t>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Attn.:  Corporate Secretary</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rPr>
              <w:t>Attn.:  Michael K. Sohn</w:t>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Facsimile No. (713) 853-2534</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rPr>
              <w:t>Facsimile No.  (210) 518-2599</w:t>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pPr>
            <w:r>
              <w:rPr>
                <w:rFonts w:cs="Arial Narrow" w:ascii="Arial Narrow" w:hAnsi="Arial Narrow"/>
                <w:sz w:val="18"/>
                <w:u w:val="single"/>
              </w:rPr>
              <w:t>and to</w:t>
            </w:r>
            <w:r>
              <w:rPr>
                <w:rFonts w:cs="Arial Narrow" w:ascii="Arial Narrow" w:hAnsi="Arial Narrow"/>
                <w:sz w:val="18"/>
              </w:rPr>
              <w:t>:</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Enron North America Corp.</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1400 Smith Street</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Houston, Texas 77002</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Attn.:  Assistant General Counsel, Trading Group</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Facsimile No.: (713) 646-4818</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48"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Payments to ENA</w:t>
            </w:r>
            <w:r>
              <w:rPr>
                <w:rFonts w:cs="Arial Narrow" w:ascii="Arial Narrow" w:hAnsi="Arial Narrow"/>
                <w:sz w:val="18"/>
              </w:rPr>
              <w:t>:</w:t>
            </w:r>
          </w:p>
        </w:tc>
        <w:tc>
          <w:tcPr>
            <w:tcW w:w="462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Payments to Counterparty</w:t>
            </w:r>
            <w:r>
              <w:rPr>
                <w:rFonts w:cs="Arial Narrow" w:ascii="Arial Narrow" w:hAnsi="Arial Narrow"/>
                <w:sz w:val="18"/>
              </w:rPr>
              <w:t>:</w:t>
            </w:r>
          </w:p>
        </w:tc>
      </w:tr>
      <w:tr>
        <w:trPr/>
        <w:tc>
          <w:tcPr>
            <w:tcW w:w="5348" w:type="dxa"/>
            <w:gridSpan w:val="2"/>
            <w:tcBorders/>
          </w:tcPr>
          <w:p>
            <w:pPr>
              <w:pStyle w:val="Normal"/>
              <w:keepNext w:val="true"/>
              <w:jc w:val="both"/>
              <w:rPr>
                <w:rFonts w:ascii="Arial Narrow" w:hAnsi="Arial Narrow" w:cs="Arial Narrow"/>
                <w:sz w:val="18"/>
              </w:rPr>
            </w:pPr>
            <w:r>
              <w:rPr>
                <w:rFonts w:cs="Arial Narrow" w:ascii="Arial Narrow" w:hAnsi="Arial Narrow"/>
                <w:sz w:val="18"/>
              </w:rPr>
              <w:t xml:space="preserve">Wire transfer to: </w:t>
            </w:r>
            <w:r>
              <w:rPr>
                <w:rFonts w:cs="Arial Narrow" w:ascii="Arial Narrow" w:hAnsi="Arial Narrow"/>
                <w:sz w:val="18"/>
                <w:u w:val="single"/>
              </w:rPr>
              <w:tab/>
              <w:tab/>
              <w:tab/>
            </w:r>
          </w:p>
        </w:tc>
        <w:tc>
          <w:tcPr>
            <w:tcW w:w="4626" w:type="dxa"/>
            <w:gridSpan w:val="2"/>
            <w:tcBorders/>
          </w:tcPr>
          <w:p>
            <w:pPr>
              <w:pStyle w:val="Normal"/>
              <w:keepNext w:val="true"/>
              <w:jc w:val="both"/>
              <w:rPr>
                <w:rFonts w:ascii="Arial Narrow" w:hAnsi="Arial Narrow" w:cs="Arial Narrow"/>
                <w:sz w:val="18"/>
              </w:rPr>
            </w:pPr>
            <w:r>
              <w:rPr>
                <w:rFonts w:cs="Arial Narrow" w:ascii="Arial Narrow" w:hAnsi="Arial Narrow"/>
                <w:sz w:val="18"/>
              </w:rPr>
              <w:t xml:space="preserve">Wire transfer to: </w:t>
            </w:r>
            <w:r>
              <w:rPr>
                <w:rFonts w:cs="Arial Narrow" w:ascii="Arial Narrow" w:hAnsi="Arial Narrow"/>
                <w:sz w:val="18"/>
                <w:u w:val="single"/>
              </w:rPr>
              <w:tab/>
              <w:tab/>
              <w:tab/>
              <w:tab/>
            </w:r>
          </w:p>
        </w:tc>
      </w:tr>
      <w:tr>
        <w:trPr/>
        <w:tc>
          <w:tcPr>
            <w:tcW w:w="5348" w:type="dxa"/>
            <w:gridSpan w:val="2"/>
            <w:tcBorders/>
          </w:tcPr>
          <w:p>
            <w:pPr>
              <w:pStyle w:val="Normal"/>
              <w:keepNext w:val="true"/>
              <w:jc w:val="both"/>
              <w:rPr>
                <w:rFonts w:ascii="Arial Narrow" w:hAnsi="Arial Narrow" w:cs="Arial Narrow"/>
                <w:sz w:val="18"/>
              </w:rPr>
            </w:pPr>
            <w:r>
              <w:rPr>
                <w:rFonts w:cs="Arial Narrow" w:ascii="Arial Narrow" w:hAnsi="Arial Narrow"/>
                <w:sz w:val="18"/>
              </w:rPr>
              <w:t xml:space="preserve">Acct. No. </w:t>
            </w:r>
            <w:r>
              <w:rPr>
                <w:rFonts w:cs="Arial Narrow" w:ascii="Arial Narrow" w:hAnsi="Arial Narrow"/>
                <w:sz w:val="18"/>
                <w:u w:val="single"/>
              </w:rPr>
              <w:tab/>
              <w:tab/>
              <w:tab/>
              <w:tab/>
            </w:r>
          </w:p>
        </w:tc>
        <w:tc>
          <w:tcPr>
            <w:tcW w:w="4626" w:type="dxa"/>
            <w:gridSpan w:val="2"/>
            <w:tcBorders/>
          </w:tcPr>
          <w:p>
            <w:pPr>
              <w:pStyle w:val="Normal"/>
              <w:keepNext w:val="true"/>
              <w:jc w:val="both"/>
              <w:rPr>
                <w:rFonts w:ascii="Arial Narrow" w:hAnsi="Arial Narrow" w:cs="Arial Narrow"/>
                <w:sz w:val="18"/>
              </w:rPr>
            </w:pPr>
            <w:r>
              <w:rPr>
                <w:rFonts w:cs="Arial Narrow" w:ascii="Arial Narrow" w:hAnsi="Arial Narrow"/>
                <w:sz w:val="18"/>
              </w:rPr>
              <w:t xml:space="preserve">Acct. No. </w:t>
            </w:r>
            <w:r>
              <w:rPr>
                <w:rFonts w:cs="Arial Narrow" w:ascii="Arial Narrow" w:hAnsi="Arial Narrow"/>
                <w:sz w:val="18"/>
                <w:u w:val="single"/>
              </w:rPr>
              <w:tab/>
              <w:tab/>
              <w:tab/>
              <w:tab/>
              <w:tab/>
            </w:r>
          </w:p>
        </w:tc>
      </w:tr>
      <w:tr>
        <w:trPr/>
        <w:tc>
          <w:tcPr>
            <w:tcW w:w="5348" w:type="dxa"/>
            <w:gridSpan w:val="2"/>
            <w:tcBorders/>
          </w:tcPr>
          <w:p>
            <w:pPr>
              <w:pStyle w:val="Normal"/>
              <w:keepNext w:val="true"/>
              <w:jc w:val="both"/>
              <w:rPr>
                <w:rFonts w:ascii="Arial Narrow" w:hAnsi="Arial Narrow" w:cs="Arial Narrow"/>
                <w:sz w:val="18"/>
              </w:rPr>
            </w:pPr>
            <w:r>
              <w:rPr>
                <w:rFonts w:cs="Arial Narrow" w:ascii="Arial Narrow" w:hAnsi="Arial Narrow"/>
                <w:sz w:val="18"/>
              </w:rPr>
              <w:t>(ABA Routing No. ______________________)</w:t>
            </w:r>
          </w:p>
        </w:tc>
        <w:tc>
          <w:tcPr>
            <w:tcW w:w="4626" w:type="dxa"/>
            <w:gridSpan w:val="2"/>
            <w:tcBorders/>
          </w:tcPr>
          <w:p>
            <w:pPr>
              <w:pStyle w:val="Normal"/>
              <w:keepNext w:val="true"/>
              <w:jc w:val="both"/>
              <w:rPr/>
            </w:pPr>
            <w:r>
              <w:rPr>
                <w:rFonts w:cs="Arial Narrow" w:ascii="Arial Narrow" w:hAnsi="Arial Narrow"/>
                <w:sz w:val="18"/>
              </w:rPr>
              <w:t xml:space="preserve">(ABA Routing No. </w:t>
            </w:r>
            <w:r>
              <w:rPr>
                <w:rFonts w:cs="Arial Narrow" w:ascii="Arial Narrow" w:hAnsi="Arial Narrow"/>
                <w:sz w:val="18"/>
                <w:u w:val="single"/>
              </w:rPr>
              <w:tab/>
              <w:tab/>
              <w:tab/>
              <w:tab/>
            </w:r>
            <w:r>
              <w:rPr>
                <w:rFonts w:cs="Arial Narrow" w:ascii="Arial Narrow" w:hAnsi="Arial Narrow"/>
                <w:sz w:val="18"/>
              </w:rPr>
              <w:t>)</w:t>
            </w:r>
          </w:p>
        </w:tc>
      </w:tr>
      <w:tr>
        <w:trPr/>
        <w:tc>
          <w:tcPr>
            <w:tcW w:w="5348"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c>
          <w:tcPr>
            <w:tcW w:w="4626"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r>
      <w:tr>
        <w:trPr/>
        <w:tc>
          <w:tcPr>
            <w:tcW w:w="5331" w:type="dxa"/>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Billing and Accounting Matters to ENA</w:t>
            </w:r>
            <w:r>
              <w:rPr>
                <w:rFonts w:cs="Arial Narrow" w:ascii="Arial Narrow" w:hAnsi="Arial Narrow"/>
                <w:sz w:val="18"/>
              </w:rPr>
              <w:t>:</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Billing and Accounting Matters to Counterparty</w:t>
            </w:r>
            <w:r>
              <w:rPr>
                <w:rFonts w:cs="Arial Narrow" w:ascii="Arial Narrow" w:hAnsi="Arial Narrow"/>
                <w:sz w:val="18"/>
              </w:rPr>
              <w:t>:</w:t>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Enron North America Corp.</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rPr>
              <w:t>Statex Petroleum I, L.P.</w:t>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P.O. Box 4428</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Houston, Texas 77210-4428</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Attn.: Contract Settlement - Financial</w:t>
            </w:r>
          </w:p>
        </w:tc>
        <w:tc>
          <w:tcPr>
            <w:tcW w:w="4576" w:type="dxa"/>
            <w:gridSpan w:val="2"/>
            <w:tcBorders/>
          </w:tcPr>
          <w:p>
            <w:pPr>
              <w:pStyle w:val="Normal"/>
              <w:keepNext w:val="true"/>
              <w:jc w:val="both"/>
              <w:rPr/>
            </w:pPr>
            <w:r>
              <w:rPr>
                <w:rFonts w:cs="Arial Narrow" w:ascii="Arial Narrow" w:hAnsi="Arial Narrow"/>
                <w:sz w:val="18"/>
              </w:rPr>
              <w:t xml:space="preserve">Attn.: </w:t>
            </w: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Facsimile No. (713) 646-4819</w:t>
            </w:r>
          </w:p>
        </w:tc>
        <w:tc>
          <w:tcPr>
            <w:tcW w:w="4576" w:type="dxa"/>
            <w:gridSpan w:val="2"/>
            <w:tcBorders/>
          </w:tcPr>
          <w:p>
            <w:pPr>
              <w:pStyle w:val="Normal"/>
              <w:keepNext w:val="true"/>
              <w:jc w:val="both"/>
              <w:rPr/>
            </w:pPr>
            <w:r>
              <w:rPr>
                <w:rFonts w:cs="Arial Narrow" w:ascii="Arial Narrow" w:hAnsi="Arial Narrow"/>
                <w:sz w:val="18"/>
              </w:rPr>
              <w:t>Facsimile No.</w:t>
            </w:r>
            <w:r>
              <w:rPr>
                <w:rFonts w:cs="Arial Narrow" w:ascii="Arial Narrow" w:hAnsi="Arial Narrow"/>
                <w:sz w:val="18"/>
                <w:u w:val="single"/>
              </w:rPr>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4576"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4576"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rPr>
            </w:pPr>
            <w:r>
              <w:rPr>
                <w:rFonts w:cs="Arial Narrow" w:ascii="Arial Narrow" w:hAnsi="Arial Narrow"/>
                <w:sz w:val="18"/>
              </w:rPr>
            </w:r>
          </w:p>
        </w:tc>
      </w:tr>
    </w:tbl>
    <w:p>
      <w:pPr>
        <w:sectPr>
          <w:headerReference w:type="default" r:id="rId6"/>
          <w:headerReference w:type="first" r:id="rId7"/>
          <w:footerReference w:type="default" r:id="rId8"/>
          <w:footerReference w:type="first" r:id="rId9"/>
          <w:type w:val="nextPage"/>
          <w:pgSz w:w="12240" w:h="15840"/>
          <w:pgMar w:left="1008" w:right="1008" w:gutter="0" w:header="0" w:top="1008" w:footer="720" w:bottom="1008"/>
          <w:pgNumType w:start="1" w:fmt="decimal"/>
          <w:formProt w:val="false"/>
          <w:textDirection w:val="lrTb"/>
          <w:docGrid w:type="default" w:linePitch="360" w:charSpace="0"/>
        </w:sectPr>
      </w:pPr>
    </w:p>
    <w:p>
      <w:pPr>
        <w:pStyle w:val="Normal"/>
        <w:keepNext w:val="true"/>
        <w:jc w:val="center"/>
        <w:rPr>
          <w:rFonts w:ascii="Arial Narrow" w:hAnsi="Arial Narrow" w:cs="Arial Narrow"/>
          <w:b/>
          <w:sz w:val="18"/>
        </w:rPr>
      </w:pPr>
      <w:r>
        <w:rPr>
          <w:rFonts w:cs="Arial Narrow" w:ascii="Arial Narrow" w:hAnsi="Arial Narrow"/>
          <w:b/>
          <w:sz w:val="18"/>
        </w:rPr>
        <w:t>ANNEX A</w:t>
        <w:br/>
      </w:r>
      <w:r>
        <w:rPr>
          <w:rFonts w:cs="Arial Narrow" w:ascii="Arial Narrow" w:hAnsi="Arial Narrow"/>
          <w:b/>
          <w:sz w:val="18"/>
          <w:u w:val="single"/>
        </w:rPr>
        <w:t>CREDIT SUPPORT ANNEX</w:t>
      </w:r>
    </w:p>
    <w:p>
      <w:pPr>
        <w:pStyle w:val="BodyTextIndent3"/>
        <w:rPr/>
      </w:pPr>
      <w:r>
        <w:rPr/>
        <w:t>This Credit Support Annex supplements, forms part of, and is incorporated into the Agreement (as defined in that certain Master Agreement to which this Annex is attached).  Capitalized terms used in this Annex but not defined herein shall have the meanings given such terms in the Master Agreement.</w:t>
      </w:r>
    </w:p>
    <w:p>
      <w:pPr>
        <w:pStyle w:val="Normal"/>
        <w:keepNext w:val="true"/>
        <w:spacing w:before="240" w:after="0"/>
        <w:ind w:hanging="720" w:start="720" w:end="1440"/>
        <w:jc w:val="both"/>
        <w:rPr/>
      </w:pPr>
      <w:r>
        <w:rPr>
          <w:rFonts w:cs="Arial Narrow" w:ascii="Arial Narrow" w:hAnsi="Arial Narrow"/>
          <w:sz w:val="18"/>
        </w:rPr>
        <w:t xml:space="preserve">I.  </w:t>
      </w:r>
      <w:r>
        <w:rPr>
          <w:rFonts w:cs="Arial Narrow" w:ascii="Arial Narrow" w:hAnsi="Arial Narrow"/>
          <w:sz w:val="18"/>
          <w:u w:val="single"/>
        </w:rPr>
        <w:t>Definitions</w:t>
      </w:r>
      <w:r>
        <w:rPr>
          <w:rFonts w:cs="Arial Narrow" w:ascii="Arial Narrow" w:hAnsi="Arial Narrow"/>
          <w:sz w:val="18"/>
        </w:rPr>
        <w:t>.  As used in this Annex:</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Additional Amount</w:t>
      </w:r>
      <w:r>
        <w:rPr>
          <w:rFonts w:cs="Arial Narrow" w:ascii="Arial Narrow" w:hAnsi="Arial Narrow"/>
          <w:sz w:val="18"/>
        </w:rPr>
        <w:t>" shall mean, with respect to a party, the amount specified as such for that party in each Confirmation, or if no amount is specified, zero.</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Collateral Account</w:t>
      </w:r>
      <w:r>
        <w:rPr>
          <w:rFonts w:cs="Arial Narrow" w:ascii="Arial Narrow" w:hAnsi="Arial Narrow"/>
          <w:sz w:val="18"/>
        </w:rPr>
        <w:t>" shall have the meaning attributed to it in Section VII(b).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Collateral Requirement</w:t>
      </w:r>
      <w:r>
        <w:rPr>
          <w:rFonts w:cs="Arial Narrow" w:ascii="Arial Narrow" w:hAnsi="Arial Narrow"/>
          <w:sz w:val="18"/>
        </w:rPr>
        <w:t>" shall have the meaning attributed to it in Section 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Credit Rating</w:t>
      </w:r>
      <w:r>
        <w:rPr>
          <w:rFonts w:cs="Arial Narrow" w:ascii="Arial Narrow" w:hAnsi="Arial Narrow"/>
          <w:sz w:val="18"/>
        </w:rPr>
        <w:t>" shall mean, with respect to a party or entity, on any date of determination, the respective rating then assigned to its unsecured and senior long-term debt or deposit obligations (not supported by third party credit enhancement) by S&amp;P, Moody's or the specified rating agency or agencies.</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Current Value</w:t>
      </w:r>
      <w:r>
        <w:rPr>
          <w:rFonts w:cs="Arial Narrow" w:ascii="Arial Narrow" w:hAnsi="Arial Narrow"/>
          <w:sz w:val="18"/>
        </w:rPr>
        <w:t>" of an outstanding Transaction, on any date, shall mean the amount, as calculated by the Exposed Party in good faith and in a commercially reasonable manner, which a party to the Agreement would pay to or receive from a third party in an arm's-length transaction as consideration for the third party's entering into a new Transaction with such party to the Agreement in which:</w:t>
      </w:r>
    </w:p>
    <w:p>
      <w:pPr>
        <w:pStyle w:val="Normal"/>
        <w:ind w:firstLine="720" w:start="720" w:end="0"/>
        <w:jc w:val="both"/>
        <w:rPr>
          <w:rFonts w:ascii="Arial Narrow" w:hAnsi="Arial Narrow" w:cs="Arial Narrow"/>
          <w:sz w:val="18"/>
        </w:rPr>
      </w:pPr>
      <w:r>
        <w:rPr>
          <w:rFonts w:cs="Arial Narrow" w:ascii="Arial Narrow" w:hAnsi="Arial Narrow"/>
          <w:sz w:val="18"/>
        </w:rPr>
      </w:r>
    </w:p>
    <w:p>
      <w:pPr>
        <w:pStyle w:val="Normal"/>
        <w:ind w:firstLine="180" w:start="360" w:end="0"/>
        <w:jc w:val="both"/>
        <w:rPr>
          <w:rFonts w:ascii="Arial Narrow" w:hAnsi="Arial Narrow" w:cs="Arial Narrow"/>
          <w:sz w:val="18"/>
        </w:rPr>
      </w:pPr>
      <w:r>
        <w:rPr>
          <w:rFonts w:cs="Arial Narrow" w:ascii="Arial Narrow" w:hAnsi="Arial Narrow"/>
          <w:sz w:val="18"/>
        </w:rPr>
        <w:t>(a)  the party to the Agreement holds the same position as it currently holds in the outstanding Transaction;</w:t>
      </w:r>
    </w:p>
    <w:p>
      <w:pPr>
        <w:pStyle w:val="Normal"/>
        <w:ind w:firstLine="180" w:start="360" w:end="0"/>
        <w:jc w:val="both"/>
        <w:rPr>
          <w:rFonts w:ascii="Arial Narrow" w:hAnsi="Arial Narrow" w:cs="Arial Narrow"/>
          <w:sz w:val="18"/>
        </w:rPr>
      </w:pPr>
      <w:r>
        <w:rPr>
          <w:rFonts w:cs="Arial Narrow" w:ascii="Arial Narrow" w:hAnsi="Arial Narrow"/>
          <w:sz w:val="18"/>
        </w:rPr>
      </w:r>
    </w:p>
    <w:p>
      <w:pPr>
        <w:pStyle w:val="Normal"/>
        <w:ind w:firstLine="180" w:start="360" w:end="0"/>
        <w:jc w:val="both"/>
        <w:rPr>
          <w:rFonts w:ascii="Arial Narrow" w:hAnsi="Arial Narrow" w:cs="Arial Narrow"/>
          <w:sz w:val="18"/>
        </w:rPr>
      </w:pPr>
      <w:r>
        <w:rPr>
          <w:rFonts w:cs="Arial Narrow" w:ascii="Arial Narrow" w:hAnsi="Arial Narrow"/>
          <w:sz w:val="18"/>
        </w:rPr>
        <w:t>(b)  the third party holds the same position as the other party to the Agreement in the outstanding Transaction; and</w:t>
      </w:r>
    </w:p>
    <w:p>
      <w:pPr>
        <w:pStyle w:val="Normal"/>
        <w:ind w:firstLine="180" w:start="360" w:end="0"/>
        <w:jc w:val="both"/>
        <w:rPr>
          <w:rFonts w:ascii="Arial Narrow" w:hAnsi="Arial Narrow" w:cs="Arial Narrow"/>
          <w:sz w:val="18"/>
        </w:rPr>
      </w:pPr>
      <w:r>
        <w:rPr>
          <w:rFonts w:cs="Arial Narrow" w:ascii="Arial Narrow" w:hAnsi="Arial Narrow"/>
          <w:sz w:val="18"/>
        </w:rPr>
      </w:r>
    </w:p>
    <w:p>
      <w:pPr>
        <w:pStyle w:val="Normal"/>
        <w:ind w:firstLine="180" w:start="360" w:end="0"/>
        <w:jc w:val="both"/>
        <w:rPr>
          <w:rFonts w:ascii="Arial Narrow" w:hAnsi="Arial Narrow" w:cs="Arial Narrow"/>
          <w:sz w:val="18"/>
        </w:rPr>
      </w:pPr>
      <w:r>
        <w:rPr>
          <w:rFonts w:cs="Arial Narrow" w:ascii="Arial Narrow" w:hAnsi="Arial Narrow"/>
          <w:sz w:val="18"/>
        </w:rPr>
        <w:t>(c)  the new Transaction has economic and other terms and conditions identical in all respects to the terms and conditions of the outstanding Transaction, except that</w:t>
      </w:r>
    </w:p>
    <w:p>
      <w:pPr>
        <w:pStyle w:val="Normal"/>
        <w:ind w:firstLine="180" w:start="360" w:end="0"/>
        <w:jc w:val="both"/>
        <w:rPr>
          <w:rFonts w:ascii="Arial Narrow" w:hAnsi="Arial Narrow" w:cs="Arial Narrow"/>
          <w:sz w:val="18"/>
        </w:rPr>
      </w:pPr>
      <w:r>
        <w:rPr>
          <w:rFonts w:cs="Arial Narrow" w:ascii="Arial Narrow" w:hAnsi="Arial Narrow"/>
          <w:sz w:val="18"/>
        </w:rPr>
      </w:r>
    </w:p>
    <w:p>
      <w:pPr>
        <w:pStyle w:val="Normal"/>
        <w:ind w:start="540" w:end="0"/>
        <w:jc w:val="both"/>
        <w:rPr>
          <w:rFonts w:ascii="Arial Narrow" w:hAnsi="Arial Narrow" w:cs="Arial Narrow"/>
          <w:sz w:val="18"/>
        </w:rPr>
      </w:pPr>
      <w:r>
        <w:rPr>
          <w:rFonts w:cs="Arial Narrow" w:ascii="Arial Narrow" w:hAnsi="Arial Narrow"/>
          <w:sz w:val="18"/>
        </w:rPr>
        <w:t>(i)  the date of calculation shall be deemed to be the date of commencement of the new Transaction (or, if later, the date specified as the effective or commencement date of the outstanding Transaction in the related Confirmation), and</w:t>
      </w:r>
    </w:p>
    <w:p>
      <w:pPr>
        <w:pStyle w:val="Normal"/>
        <w:ind w:firstLine="180" w:start="540" w:end="0"/>
        <w:jc w:val="both"/>
        <w:rPr>
          <w:rFonts w:ascii="Arial Narrow" w:hAnsi="Arial Narrow" w:cs="Arial Narrow"/>
          <w:sz w:val="18"/>
        </w:rPr>
      </w:pPr>
      <w:r>
        <w:rPr>
          <w:rFonts w:cs="Arial Narrow" w:ascii="Arial Narrow" w:hAnsi="Arial Narrow"/>
          <w:sz w:val="18"/>
        </w:rPr>
      </w:r>
    </w:p>
    <w:p>
      <w:pPr>
        <w:pStyle w:val="Normal"/>
        <w:ind w:start="540" w:end="0"/>
        <w:jc w:val="both"/>
        <w:rPr>
          <w:rFonts w:ascii="Arial Narrow" w:hAnsi="Arial Narrow" w:cs="Arial Narrow"/>
          <w:sz w:val="18"/>
        </w:rPr>
      </w:pPr>
      <w:r>
        <w:rPr>
          <w:rFonts w:cs="Arial Narrow" w:ascii="Arial Narrow" w:hAnsi="Arial Narrow"/>
          <w:sz w:val="18"/>
        </w:rPr>
        <w:t>(ii)  the first Determination Period for the new Transaction shall end on the date that the then-current Determination Period, if any, for the outstanding Transaction would have ended.</w:t>
      </w:r>
    </w:p>
    <w:p>
      <w:pPr>
        <w:pStyle w:val="Normal"/>
        <w:ind w:start="540" w:end="0"/>
        <w:jc w:val="both"/>
        <w:rPr>
          <w:rFonts w:ascii="Arial Narrow" w:hAnsi="Arial Narrow" w:cs="Arial Narrow"/>
          <w:sz w:val="18"/>
        </w:rPr>
      </w:pPr>
      <w:r>
        <w:rPr>
          <w:rFonts w:cs="Arial Narrow" w:ascii="Arial Narrow" w:hAnsi="Arial Narrow"/>
          <w:sz w:val="18"/>
        </w:rPr>
      </w:r>
    </w:p>
    <w:p>
      <w:pPr>
        <w:pStyle w:val="BodyTextIndent2"/>
        <w:spacing w:before="0" w:after="0"/>
        <w:ind w:firstLine="360" w:start="0" w:end="0"/>
        <w:rPr/>
      </w:pPr>
      <w:r>
        <w:rPr/>
        <w:t>"</w:t>
      </w:r>
      <w:r>
        <w:rPr>
          <w:u w:val="single"/>
        </w:rPr>
        <w:t>Downgraded Party</w:t>
      </w:r>
      <w:r>
        <w:rPr/>
        <w:t>" shall have the meaning attributed to it in Section VII(b).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Eligible Collateral</w:t>
      </w:r>
      <w:r>
        <w:rPr>
          <w:rFonts w:cs="Arial Narrow" w:ascii="Arial Narrow" w:hAnsi="Arial Narrow"/>
          <w:sz w:val="18"/>
        </w:rPr>
        <w:t>" -- the following items will qualify as "Eligible Collateral" for the party specified:</w:t>
      </w:r>
    </w:p>
    <w:tbl>
      <w:tblPr>
        <w:tblW w:w="4878" w:type="dxa"/>
        <w:jc w:val="start"/>
        <w:tblInd w:w="0" w:type="dxa"/>
        <w:tblLayout w:type="fixed"/>
        <w:tblCellMar>
          <w:top w:w="0" w:type="dxa"/>
          <w:start w:w="108" w:type="dxa"/>
          <w:bottom w:w="0" w:type="dxa"/>
          <w:end w:w="108" w:type="dxa"/>
        </w:tblCellMar>
      </w:tblPr>
      <w:tblGrid>
        <w:gridCol w:w="468"/>
        <w:gridCol w:w="810"/>
        <w:gridCol w:w="540"/>
        <w:gridCol w:w="1170"/>
        <w:gridCol w:w="1890"/>
      </w:tblGrid>
      <w:tr>
        <w:trPr/>
        <w:tc>
          <w:tcPr>
            <w:tcW w:w="468" w:type="dxa"/>
            <w:tcBorders/>
          </w:tcPr>
          <w:p>
            <w:pPr>
              <w:pStyle w:val="Normal"/>
              <w:snapToGrid w:val="false"/>
              <w:spacing w:before="240" w:after="0"/>
              <w:jc w:val="both"/>
              <w:rPr>
                <w:rFonts w:ascii="Arial Narrow" w:hAnsi="Arial Narrow" w:cs="Arial Narrow"/>
                <w:sz w:val="18"/>
              </w:rPr>
            </w:pPr>
            <w:r>
              <w:rPr>
                <w:rFonts w:cs="Arial Narrow" w:ascii="Arial Narrow" w:hAnsi="Arial Narrow"/>
                <w:sz w:val="18"/>
              </w:rPr>
            </w:r>
          </w:p>
        </w:tc>
        <w:tc>
          <w:tcPr>
            <w:tcW w:w="810" w:type="dxa"/>
            <w:tcBorders/>
          </w:tcPr>
          <w:p>
            <w:pPr>
              <w:pStyle w:val="Normal"/>
              <w:snapToGrid w:val="false"/>
              <w:spacing w:before="240" w:after="0"/>
              <w:jc w:val="both"/>
              <w:rPr>
                <w:rFonts w:ascii="Arial Narrow" w:hAnsi="Arial Narrow" w:cs="Arial Narrow"/>
                <w:sz w:val="18"/>
              </w:rPr>
            </w:pPr>
            <w:r>
              <w:rPr>
                <w:rFonts w:cs="Arial Narrow" w:ascii="Arial Narrow" w:hAnsi="Arial Narrow"/>
                <w:sz w:val="18"/>
              </w:rPr>
            </w:r>
          </w:p>
        </w:tc>
        <w:tc>
          <w:tcPr>
            <w:tcW w:w="540" w:type="dxa"/>
            <w:tcBorders/>
          </w:tcPr>
          <w:p>
            <w:pPr>
              <w:pStyle w:val="Normal"/>
              <w:spacing w:before="240" w:after="0"/>
              <w:jc w:val="both"/>
              <w:rPr>
                <w:rFonts w:ascii="Arial Narrow" w:hAnsi="Arial Narrow" w:cs="Arial Narrow"/>
                <w:b/>
                <w:sz w:val="18"/>
              </w:rPr>
            </w:pPr>
            <w:r>
              <w:rPr>
                <w:rFonts w:cs="Arial Narrow" w:ascii="Arial Narrow" w:hAnsi="Arial Narrow"/>
                <w:b/>
                <w:sz w:val="18"/>
              </w:rPr>
              <w:t>ENA</w:t>
            </w:r>
          </w:p>
        </w:tc>
        <w:tc>
          <w:tcPr>
            <w:tcW w:w="1170" w:type="dxa"/>
            <w:tcBorders/>
          </w:tcPr>
          <w:p>
            <w:pPr>
              <w:pStyle w:val="Normal"/>
              <w:spacing w:before="240" w:after="0"/>
              <w:jc w:val="both"/>
              <w:rPr>
                <w:rFonts w:ascii="Arial Narrow" w:hAnsi="Arial Narrow" w:cs="Arial Narrow"/>
                <w:b/>
                <w:sz w:val="18"/>
              </w:rPr>
            </w:pPr>
            <w:r>
              <w:rPr>
                <w:rFonts w:cs="Arial Narrow" w:ascii="Arial Narrow" w:hAnsi="Arial Narrow"/>
                <w:b/>
                <w:sz w:val="18"/>
              </w:rPr>
              <w:t>Counterparty</w:t>
            </w:r>
          </w:p>
        </w:tc>
        <w:tc>
          <w:tcPr>
            <w:tcW w:w="1890" w:type="dxa"/>
            <w:tcBorders/>
          </w:tcPr>
          <w:p>
            <w:pPr>
              <w:pStyle w:val="Heading3"/>
              <w:rPr>
                <w:rFonts w:ascii="Arial Narrow" w:hAnsi="Arial Narrow" w:cs="Arial Narrow"/>
                <w:sz w:val="18"/>
              </w:rPr>
            </w:pPr>
            <w:r>
              <w:rPr>
                <w:rFonts w:cs="Arial Narrow" w:ascii="Arial Narrow" w:hAnsi="Arial Narrow"/>
                <w:sz w:val="18"/>
              </w:rPr>
              <w:t>Valuation Percentage</w:t>
            </w:r>
          </w:p>
        </w:tc>
      </w:tr>
      <w:tr>
        <w:trPr/>
        <w:tc>
          <w:tcPr>
            <w:tcW w:w="468" w:type="dxa"/>
            <w:tcBorders/>
          </w:tcPr>
          <w:p>
            <w:pPr>
              <w:pStyle w:val="Normal"/>
              <w:spacing w:before="240" w:after="0"/>
              <w:jc w:val="both"/>
              <w:rPr>
                <w:rFonts w:ascii="Arial Narrow" w:hAnsi="Arial Narrow" w:cs="Arial Narrow"/>
                <w:sz w:val="18"/>
              </w:rPr>
            </w:pPr>
            <w:r>
              <w:rPr>
                <w:rFonts w:cs="Arial Narrow" w:ascii="Arial Narrow" w:hAnsi="Arial Narrow"/>
                <w:sz w:val="18"/>
              </w:rPr>
              <w:t>(A)</w:t>
            </w:r>
          </w:p>
        </w:tc>
        <w:tc>
          <w:tcPr>
            <w:tcW w:w="810" w:type="dxa"/>
            <w:tcBorders/>
          </w:tcPr>
          <w:p>
            <w:pPr>
              <w:pStyle w:val="Normal"/>
              <w:spacing w:before="240" w:after="0"/>
              <w:jc w:val="both"/>
              <w:rPr>
                <w:rFonts w:ascii="Arial Narrow" w:hAnsi="Arial Narrow" w:cs="Arial Narrow"/>
                <w:sz w:val="18"/>
              </w:rPr>
            </w:pPr>
            <w:r>
              <w:rPr>
                <w:rFonts w:cs="Arial Narrow" w:ascii="Arial Narrow" w:hAnsi="Arial Narrow"/>
                <w:sz w:val="18"/>
              </w:rPr>
              <w:t>Cash</w:t>
            </w:r>
          </w:p>
        </w:tc>
        <w:tc>
          <w:tcPr>
            <w:tcW w:w="540" w:type="dxa"/>
            <w:tcBorders/>
          </w:tcPr>
          <w:p>
            <w:pPr>
              <w:pStyle w:val="Normal"/>
              <w:spacing w:before="240" w:after="0"/>
              <w:jc w:val="center"/>
              <w:rPr>
                <w:rFonts w:ascii="Arial Narrow" w:hAnsi="Arial Narrow" w:cs="Arial Narrow"/>
                <w:sz w:val="18"/>
              </w:rPr>
            </w:pPr>
            <w:r>
              <w:rPr>
                <w:rFonts w:cs="Arial Narrow" w:ascii="Arial Narrow" w:hAnsi="Arial Narrow"/>
                <w:sz w:val="18"/>
              </w:rPr>
              <w:t>[X]</w:t>
            </w:r>
          </w:p>
        </w:tc>
        <w:tc>
          <w:tcPr>
            <w:tcW w:w="1170" w:type="dxa"/>
            <w:tcBorders/>
          </w:tcPr>
          <w:p>
            <w:pPr>
              <w:pStyle w:val="Normal"/>
              <w:spacing w:before="240" w:after="0"/>
              <w:jc w:val="center"/>
              <w:rPr>
                <w:rFonts w:ascii="Arial Narrow" w:hAnsi="Arial Narrow" w:cs="Arial Narrow"/>
                <w:sz w:val="18"/>
              </w:rPr>
            </w:pPr>
            <w:r>
              <w:rPr>
                <w:rFonts w:cs="Arial Narrow" w:ascii="Arial Narrow" w:hAnsi="Arial Narrow"/>
                <w:sz w:val="18"/>
              </w:rPr>
              <w:t>[X]</w:t>
            </w:r>
          </w:p>
        </w:tc>
        <w:tc>
          <w:tcPr>
            <w:tcW w:w="1890" w:type="dxa"/>
            <w:tcBorders/>
          </w:tcPr>
          <w:p>
            <w:pPr>
              <w:pStyle w:val="Normal"/>
              <w:spacing w:before="240" w:after="0"/>
              <w:jc w:val="both"/>
              <w:rPr>
                <w:rFonts w:ascii="Arial Narrow" w:hAnsi="Arial Narrow" w:cs="Arial Narrow"/>
                <w:sz w:val="18"/>
              </w:rPr>
            </w:pPr>
            <w:r>
              <w:rPr>
                <w:rFonts w:cs="Arial Narrow" w:ascii="Arial Narrow" w:hAnsi="Arial Narrow"/>
                <w:sz w:val="18"/>
              </w:rPr>
              <w:t>100%</w:t>
            </w:r>
          </w:p>
        </w:tc>
      </w:tr>
      <w:tr>
        <w:trPr/>
        <w:tc>
          <w:tcPr>
            <w:tcW w:w="468" w:type="dxa"/>
            <w:tcBorders/>
          </w:tcPr>
          <w:p>
            <w:pPr>
              <w:pStyle w:val="Normal"/>
              <w:spacing w:before="240" w:after="0"/>
              <w:jc w:val="both"/>
              <w:rPr>
                <w:rFonts w:ascii="Arial Narrow" w:hAnsi="Arial Narrow" w:cs="Arial Narrow"/>
                <w:sz w:val="18"/>
              </w:rPr>
            </w:pPr>
            <w:r>
              <w:rPr>
                <w:rFonts w:cs="Arial Narrow" w:ascii="Arial Narrow" w:hAnsi="Arial Narrow"/>
                <w:sz w:val="18"/>
              </w:rPr>
              <w:t>(B)</w:t>
            </w:r>
          </w:p>
        </w:tc>
        <w:tc>
          <w:tcPr>
            <w:tcW w:w="810" w:type="dxa"/>
            <w:tcBorders/>
          </w:tcPr>
          <w:p>
            <w:pPr>
              <w:pStyle w:val="Normal"/>
              <w:spacing w:before="240" w:after="0"/>
              <w:jc w:val="both"/>
              <w:rPr>
                <w:rFonts w:ascii="Arial Narrow" w:hAnsi="Arial Narrow" w:cs="Arial Narrow"/>
                <w:sz w:val="18"/>
              </w:rPr>
            </w:pPr>
            <w:r>
              <w:rPr>
                <w:rFonts w:cs="Arial Narrow" w:ascii="Arial Narrow" w:hAnsi="Arial Narrow"/>
                <w:sz w:val="18"/>
              </w:rPr>
              <w:t>Letters of Credit</w:t>
            </w:r>
          </w:p>
        </w:tc>
        <w:tc>
          <w:tcPr>
            <w:tcW w:w="540" w:type="dxa"/>
            <w:tcBorders/>
          </w:tcPr>
          <w:p>
            <w:pPr>
              <w:pStyle w:val="Normal"/>
              <w:spacing w:before="240" w:after="0"/>
              <w:jc w:val="center"/>
              <w:rPr>
                <w:rFonts w:ascii="Arial Narrow" w:hAnsi="Arial Narrow" w:cs="Arial Narrow"/>
                <w:sz w:val="18"/>
              </w:rPr>
            </w:pPr>
            <w:r>
              <w:rPr>
                <w:rFonts w:cs="Arial Narrow" w:ascii="Arial Narrow" w:hAnsi="Arial Narrow"/>
                <w:sz w:val="18"/>
              </w:rPr>
              <w:t>[X]</w:t>
            </w:r>
          </w:p>
        </w:tc>
        <w:tc>
          <w:tcPr>
            <w:tcW w:w="1170" w:type="dxa"/>
            <w:tcBorders/>
          </w:tcPr>
          <w:p>
            <w:pPr>
              <w:pStyle w:val="Normal"/>
              <w:spacing w:before="240" w:after="0"/>
              <w:jc w:val="center"/>
              <w:rPr>
                <w:rFonts w:ascii="Arial Narrow" w:hAnsi="Arial Narrow" w:cs="Arial Narrow"/>
                <w:sz w:val="18"/>
              </w:rPr>
            </w:pPr>
            <w:r>
              <w:rPr>
                <w:rFonts w:cs="Arial Narrow" w:ascii="Arial Narrow" w:hAnsi="Arial Narrow"/>
                <w:sz w:val="18"/>
              </w:rPr>
              <w:t>[X]</w:t>
            </w:r>
          </w:p>
        </w:tc>
        <w:tc>
          <w:tcPr>
            <w:tcW w:w="1890" w:type="dxa"/>
            <w:tcBorders/>
          </w:tcPr>
          <w:p>
            <w:pPr>
              <w:pStyle w:val="Normal"/>
              <w:spacing w:before="240" w:after="0"/>
              <w:jc w:val="both"/>
              <w:rPr>
                <w:rFonts w:ascii="Arial Narrow" w:hAnsi="Arial Narrow" w:cs="Arial Narrow"/>
                <w:sz w:val="18"/>
              </w:rPr>
            </w:pPr>
            <w:r>
              <w:rPr>
                <w:rFonts w:cs="Arial Narrow" w:ascii="Arial Narrow" w:hAnsi="Arial Narrow"/>
                <w:sz w:val="18"/>
              </w:rPr>
              <w:t>100% unless either (i) a Letter of Credit Default shall apply with respect to such Letter of Credit, or (ii) twenty (20) or fewer Business Days remain prior to the expiration of such Letter of Credit, in which case the Valuation Percentage shall be 0.</w:t>
            </w:r>
          </w:p>
        </w:tc>
      </w:tr>
    </w:tbl>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Exposed Party</w:t>
      </w:r>
      <w:r>
        <w:rPr>
          <w:rFonts w:cs="Arial Narrow" w:ascii="Arial Narrow" w:hAnsi="Arial Narrow"/>
          <w:sz w:val="18"/>
        </w:rPr>
        <w:t>" shall have the meaning attributed to it in Section II(a).</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Exposure</w:t>
      </w:r>
      <w:r>
        <w:rPr>
          <w:rFonts w:cs="Arial Narrow" w:ascii="Arial Narrow" w:hAnsi="Arial Narrow"/>
          <w:sz w:val="18"/>
        </w:rPr>
        <w:t>" for each Transaction shall mean (without duplication):</w:t>
      </w:r>
    </w:p>
    <w:p>
      <w:pPr>
        <w:pStyle w:val="Normal"/>
        <w:ind w:firstLine="720" w:start="720" w:end="0"/>
        <w:jc w:val="both"/>
        <w:rPr>
          <w:rFonts w:ascii="Arial Narrow" w:hAnsi="Arial Narrow" w:cs="Arial Narrow"/>
          <w:sz w:val="18"/>
        </w:rPr>
      </w:pPr>
      <w:r>
        <w:rPr>
          <w:rFonts w:cs="Arial Narrow" w:ascii="Arial Narrow" w:hAnsi="Arial Narrow"/>
          <w:sz w:val="18"/>
        </w:rPr>
      </w:r>
    </w:p>
    <w:p>
      <w:pPr>
        <w:pStyle w:val="Normal"/>
        <w:ind w:firstLine="180" w:start="360" w:end="0"/>
        <w:jc w:val="both"/>
        <w:rPr>
          <w:rFonts w:ascii="Arial Narrow" w:hAnsi="Arial Narrow" w:cs="Arial Narrow"/>
          <w:sz w:val="18"/>
        </w:rPr>
      </w:pPr>
      <w:r>
        <w:rPr>
          <w:rFonts w:cs="Arial Narrow" w:ascii="Arial Narrow" w:hAnsi="Arial Narrow"/>
          <w:sz w:val="18"/>
        </w:rPr>
        <w:t>(a)  in respect of a Transaction for which a payment pursuant to the Agreement has been determined and is due and owing but not yet paid, the amount of such payment, with the party due and owed such amount having Exposure to the other party in such amount; and</w:t>
      </w:r>
    </w:p>
    <w:p>
      <w:pPr>
        <w:pStyle w:val="Normal"/>
        <w:ind w:firstLine="180" w:start="360" w:end="0"/>
        <w:jc w:val="both"/>
        <w:rPr>
          <w:rFonts w:ascii="Arial Narrow" w:hAnsi="Arial Narrow" w:cs="Arial Narrow"/>
          <w:sz w:val="18"/>
        </w:rPr>
      </w:pPr>
      <w:r>
        <w:rPr>
          <w:rFonts w:cs="Arial Narrow" w:ascii="Arial Narrow" w:hAnsi="Arial Narrow"/>
          <w:sz w:val="18"/>
        </w:rPr>
      </w:r>
    </w:p>
    <w:p>
      <w:pPr>
        <w:pStyle w:val="Normal"/>
        <w:ind w:firstLine="180" w:start="360" w:end="0"/>
        <w:jc w:val="both"/>
        <w:rPr>
          <w:rFonts w:ascii="Arial Narrow" w:hAnsi="Arial Narrow" w:cs="Arial Narrow"/>
          <w:sz w:val="18"/>
        </w:rPr>
      </w:pPr>
      <w:r>
        <w:rPr>
          <w:rFonts w:cs="Arial Narrow" w:ascii="Arial Narrow" w:hAnsi="Arial Narrow"/>
          <w:sz w:val="18"/>
        </w:rPr>
        <w:t>(b)  the Current Value of a Transaction, with the party that would be due and owed such amount from the other party having Exposure to the other party in such amount.</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Exposure Amount</w:t>
      </w:r>
      <w:r>
        <w:rPr>
          <w:rFonts w:cs="Arial Narrow" w:ascii="Arial Narrow" w:hAnsi="Arial Narrow"/>
          <w:sz w:val="18"/>
        </w:rPr>
        <w:t>" shall have the meaning attributed to it in Section II(a).</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Exposure Threshold</w:t>
      </w:r>
      <w:r>
        <w:rPr>
          <w:rFonts w:cs="Arial Narrow" w:ascii="Arial Narrow" w:hAnsi="Arial Narrow"/>
          <w:sz w:val="18"/>
        </w:rPr>
        <w:t xml:space="preserve">" shall mean, with respect to ENA, $10,000,00, and with respect to Counterparty, zero; </w:t>
      </w:r>
      <w:r>
        <w:rPr>
          <w:rFonts w:cs="Arial Narrow" w:ascii="Arial Narrow" w:hAnsi="Arial Narrow"/>
          <w:sz w:val="18"/>
          <w:u w:val="single"/>
        </w:rPr>
        <w:t>provided, however</w:t>
      </w:r>
      <w:r>
        <w:rPr>
          <w:rFonts w:cs="Arial Narrow" w:ascii="Arial Narrow" w:hAnsi="Arial Narrow"/>
          <w:sz w:val="18"/>
        </w:rPr>
        <w:t>, that the Exposure Threshold for ENA shall be zero upon the occurrence and during the continuance of an Event of Default or a Potential Event of Default or a Material Adverse Change.</w:t>
      </w:r>
    </w:p>
    <w:p>
      <w:pPr>
        <w:pStyle w:val="Normal"/>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Federal Funds Overnight Rate</w:t>
      </w:r>
      <w:r>
        <w:rPr>
          <w:rFonts w:cs="Arial Narrow" w:ascii="Arial Narrow" w:hAnsi="Arial Narrow"/>
          <w:sz w:val="18"/>
        </w:rPr>
        <w:t>" shall have the meaning attributed to it in Section VII(c).</w:t>
      </w:r>
    </w:p>
    <w:p>
      <w:pPr>
        <w:pStyle w:val="Normal"/>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Interest Amount</w:t>
      </w:r>
      <w:r>
        <w:rPr>
          <w:rFonts w:cs="Arial Narrow" w:ascii="Arial Narrow" w:hAnsi="Arial Narrow"/>
          <w:sz w:val="18"/>
        </w:rPr>
        <w:t>" shall have the meaning attributed to it in Section VII(c).</w:t>
      </w:r>
    </w:p>
    <w:p>
      <w:pPr>
        <w:pStyle w:val="Normal"/>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Interest Period</w:t>
      </w:r>
      <w:r>
        <w:rPr>
          <w:rFonts w:cs="Arial Narrow" w:ascii="Arial Narrow" w:hAnsi="Arial Narrow"/>
          <w:sz w:val="18"/>
        </w:rPr>
        <w:t>" shall have the meaning attributed to it in Section VII(c).</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Letter of Credit</w:t>
      </w:r>
      <w:r>
        <w:rPr>
          <w:rFonts w:cs="Arial Narrow" w:ascii="Arial Narrow" w:hAnsi="Arial Narrow"/>
          <w:sz w:val="18"/>
        </w:rPr>
        <w:t xml:space="preserve">" shall mean an irrevocable, transferable, standby letter of credit, issued by a major U.S. commercial bank or a foreign bank with a U.S. branch office with a Credit Rating of at least "A-" by S&amp;P and "A3" by Moody's, utilizing the form set forth in </w:t>
      </w:r>
      <w:r>
        <w:rPr>
          <w:rFonts w:cs="Arial Narrow" w:ascii="Arial Narrow" w:hAnsi="Arial Narrow"/>
          <w:sz w:val="18"/>
          <w:u w:val="single"/>
        </w:rPr>
        <w:t>Schedule 1</w:t>
      </w:r>
      <w:r>
        <w:rPr>
          <w:rFonts w:cs="Arial Narrow" w:ascii="Arial Narrow" w:hAnsi="Arial Narrow"/>
          <w:sz w:val="18"/>
        </w:rPr>
        <w:t xml:space="preserve"> attached hereto, with such changes to the terms in that form as the issuing bank may require and as may be acceptable to the party in whose favor the letter of credit is issued.</w:t>
      </w:r>
    </w:p>
    <w:p>
      <w:pPr>
        <w:pStyle w:val="Normal"/>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Letter of Credit Default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any event analogous to an event specified in Section 5(d) of the Master Agreement shall occur with respect to the issuer of such Letter of Credit;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no Letter of Credit Default shall occur in any event with respect to a Letter of Credit after the time such Letter of Credit is required to be canceled or returned to the Non-Exposed Party in accordance with the terms of this Annex.</w:t>
      </w:r>
    </w:p>
    <w:p>
      <w:pPr>
        <w:pStyle w:val="Normal"/>
        <w:ind w:firstLine="360" w:end="0"/>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Material Adverse Change</w:t>
      </w:r>
      <w:r>
        <w:rPr>
          <w:rFonts w:cs="Arial Narrow" w:ascii="Arial Narrow" w:hAnsi="Arial Narrow"/>
          <w:sz w:val="18"/>
        </w:rPr>
        <w:t>" means means (a) with respect to ENA, its Credit Support Provider’s Credit Rating is below "BBB-" by S&amp;P; or (b) with respect to Counterparty, in the reasonable opinion of ENA, a material adverse change has occurred in the business, financial condition or operations of Counterparty.</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Moody's</w:t>
      </w:r>
      <w:r>
        <w:rPr>
          <w:rFonts w:cs="Arial Narrow" w:ascii="Arial Narrow" w:hAnsi="Arial Narrow"/>
          <w:sz w:val="18"/>
        </w:rPr>
        <w:t>" shall mean Moody's Investors Services, Inc. or its successor.</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Net Exposure</w:t>
      </w:r>
      <w:r>
        <w:rPr>
          <w:rFonts w:cs="Arial Narrow" w:ascii="Arial Narrow" w:hAnsi="Arial Narrow"/>
          <w:sz w:val="18"/>
        </w:rPr>
        <w:t>" shall have the meaning attributed to it in Section II(a).</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Non</w:t>
        <w:noBreakHyphen/>
        <w:t>Exposed Party</w:t>
      </w:r>
      <w:r>
        <w:rPr>
          <w:rFonts w:cs="Arial Narrow" w:ascii="Arial Narrow" w:hAnsi="Arial Narrow"/>
          <w:sz w:val="18"/>
        </w:rPr>
        <w:t>" shall have the meaning attributed to it in Section II(a).</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Non-Requesting Party</w:t>
      </w:r>
      <w:r>
        <w:rPr>
          <w:rFonts w:cs="Arial Narrow" w:ascii="Arial Narrow" w:hAnsi="Arial Narrow"/>
          <w:sz w:val="18"/>
        </w:rPr>
        <w:t>" shall mean the party to which a request is made to reduce the amount of Performance Assurance previously provided by the Requesting Party for the benefit of the Non-Requesting Party.</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Performance Assurance</w:t>
      </w:r>
      <w:r>
        <w:rPr>
          <w:rFonts w:cs="Arial Narrow" w:ascii="Arial Narrow" w:hAnsi="Arial Narrow"/>
          <w:sz w:val="18"/>
        </w:rPr>
        <w:t>" shall mean all Eligible Collateral, other property, and all proceeds thereof that have been Transferred to or received by the Exposed Party hereunder and not Transferred to the Non-Exposed Party pursuant to Section III or released by the Exposed Party.  Any Interest Amount or portion thereof not Transferred pursuant to Section VII(c) and any Cash received and held by the Exposed Party after drawing on any Letter of Credit will constitute Performance Assurance in the form of Cash.</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Potential Event of Default</w:t>
      </w:r>
      <w:r>
        <w:rPr>
          <w:rFonts w:cs="Arial Narrow" w:ascii="Arial Narrow" w:hAnsi="Arial Narrow"/>
          <w:sz w:val="18"/>
        </w:rPr>
        <w:t>" shall mean an event that would constitute an Event of Default with the lapse of time or giving of notice or both.</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Qualified Institution</w:t>
      </w:r>
      <w:r>
        <w:rPr>
          <w:rFonts w:cs="Arial Narrow" w:ascii="Arial Narrow" w:hAnsi="Arial Narrow"/>
          <w:sz w:val="18"/>
        </w:rPr>
        <w:t>" shall have the meaning attributed to it in Section VII(b).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Requesting Party</w:t>
      </w:r>
      <w:r>
        <w:rPr>
          <w:rFonts w:cs="Arial Narrow" w:ascii="Arial Narrow" w:hAnsi="Arial Narrow"/>
          <w:sz w:val="18"/>
        </w:rPr>
        <w:t>" shall mean the party requesting a reduction in the amount of Performance Assurance previously provided by the Requesting Party for the benefit of the Non-Requesting Party.</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S&amp;P</w:t>
      </w:r>
      <w:r>
        <w:rPr>
          <w:rFonts w:cs="Arial Narrow" w:ascii="Arial Narrow" w:hAnsi="Arial Narrow"/>
          <w:sz w:val="18"/>
        </w:rPr>
        <w:t>" shall mean the Standard &amp; Poor's Rating Group (a division of McGraw-Hill, Inc.) or its successor.</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Substitute Performance Assurance</w:t>
      </w:r>
      <w:r>
        <w:rPr>
          <w:rFonts w:cs="Arial Narrow" w:ascii="Arial Narrow" w:hAnsi="Arial Narrow"/>
          <w:sz w:val="18"/>
        </w:rPr>
        <w:t>" shall have the meaning attributed to it in Section X(b).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the Exposed Party, the Non-Exposed Party or the Requesting Party, as applicable:</w:t>
      </w:r>
    </w:p>
    <w:p>
      <w:pPr>
        <w:pStyle w:val="Normal"/>
        <w:spacing w:before="240" w:after="0"/>
        <w:ind w:start="360" w:end="0"/>
        <w:jc w:val="both"/>
        <w:rPr>
          <w:rFonts w:ascii="Arial Narrow" w:hAnsi="Arial Narrow" w:cs="Arial Narrow"/>
          <w:sz w:val="18"/>
        </w:rPr>
      </w:pPr>
      <w:r>
        <w:rPr>
          <w:rFonts w:cs="Arial Narrow" w:ascii="Arial Narrow" w:hAnsi="Arial Narrow"/>
          <w:sz w:val="18"/>
        </w:rPr>
        <w:t>(i) in the case of Cash, payment or delivery by wire transfer into one or more bank accounts specified by the recipient; and</w:t>
      </w:r>
    </w:p>
    <w:p>
      <w:pPr>
        <w:pStyle w:val="Normal"/>
        <w:spacing w:before="240" w:after="0"/>
        <w:ind w:start="360" w:end="0"/>
        <w:jc w:val="both"/>
        <w:rPr>
          <w:rFonts w:ascii="Arial Narrow" w:hAnsi="Arial Narrow" w:cs="Arial Narrow"/>
          <w:sz w:val="18"/>
        </w:rPr>
      </w:pPr>
      <w:r>
        <w:rPr>
          <w:rFonts w:cs="Arial Narrow" w:ascii="Arial Narrow" w:hAnsi="Arial Narrow"/>
          <w:sz w:val="18"/>
        </w:rPr>
        <w:t>(ii) in the case of Letters of Credit, delivery of the Letter of Credit or an amendment thereto to the recipient.</w:t>
      </w:r>
    </w:p>
    <w:p>
      <w:pPr>
        <w:pStyle w:val="BodyTextIndent2"/>
        <w:ind w:firstLine="360" w:start="0" w:end="0"/>
        <w:rPr/>
      </w:pPr>
      <w:r>
        <w:rPr/>
        <w:t>"</w:t>
      </w:r>
      <w:r>
        <w:rPr>
          <w:u w:val="single"/>
        </w:rPr>
        <w:t>Value</w:t>
      </w:r>
      <w:r>
        <w:rPr/>
        <w:t>" shall mean (a) with respect to Cash, the face amount thereof; and (b) with respect to Letters of Credit, the Valuation Percentage times the stated amount then available under the Letter of Credit to be unconditionally drawn by the Exposed Party.</w:t>
      </w:r>
    </w:p>
    <w:p>
      <w:pPr>
        <w:pStyle w:val="Normal"/>
        <w:spacing w:before="240" w:after="0"/>
        <w:jc w:val="both"/>
        <w:rPr/>
      </w:pPr>
      <w:r>
        <w:rPr>
          <w:rFonts w:cs="Arial Narrow" w:ascii="Arial Narrow" w:hAnsi="Arial Narrow"/>
          <w:sz w:val="18"/>
        </w:rPr>
        <w:t xml:space="preserve">II.  </w:t>
      </w:r>
      <w:r>
        <w:rPr>
          <w:rFonts w:cs="Arial Narrow" w:ascii="Arial Narrow" w:hAnsi="Arial Narrow"/>
          <w:sz w:val="18"/>
          <w:u w:val="single"/>
        </w:rPr>
        <w:t>Calculations</w:t>
      </w:r>
      <w:r>
        <w:rPr>
          <w:rFonts w:cs="Arial Narrow" w:ascii="Arial Narrow" w:hAnsi="Arial Narrow"/>
          <w:sz w:val="18"/>
        </w:rPr>
        <w:t>.  (a)  The "</w:t>
      </w:r>
      <w:r>
        <w:rPr>
          <w:rFonts w:cs="Arial Narrow" w:ascii="Arial Narrow" w:hAnsi="Arial Narrow"/>
          <w:sz w:val="18"/>
          <w:u w:val="single"/>
        </w:rPr>
        <w:t>Exposure Amount</w:t>
      </w:r>
      <w:r>
        <w:rPr>
          <w:rFonts w:cs="Arial Narrow" w:ascii="Arial Narrow" w:hAnsi="Arial Narrow"/>
          <w:sz w:val="18"/>
        </w:rPr>
        <w:t>" for each party shall be calculated for the total of all outstanding Transactions, by calculating each party's Exposure to the other party in respect of each Transaction and totaling the Exposures for each such party.  The party having the greater Exposure Amount at any time (the “Exposed Party”) shall be deemed to have a "</w:t>
      </w:r>
      <w:r>
        <w:rPr>
          <w:rFonts w:cs="Arial Narrow" w:ascii="Arial Narrow" w:hAnsi="Arial Narrow"/>
          <w:sz w:val="18"/>
          <w:u w:val="single"/>
        </w:rPr>
        <w:t>Net Exposure</w:t>
      </w:r>
      <w:r>
        <w:rPr>
          <w:rFonts w:cs="Arial Narrow" w:ascii="Arial Narrow" w:hAnsi="Arial Narrow"/>
          <w:sz w:val="18"/>
        </w:rPr>
        <w:t>" to the other party (the “Non-Exposed Party”) equal to the difference between its Exposure Amount and the other party's Exposure Amount.</w:t>
      </w:r>
    </w:p>
    <w:p>
      <w:pPr>
        <w:pStyle w:val="Normal"/>
        <w:spacing w:before="240" w:after="0"/>
        <w:ind w:firstLine="360" w:end="0"/>
        <w:jc w:val="both"/>
        <w:rPr/>
      </w:pPr>
      <w:r>
        <w:rPr>
          <w:rFonts w:cs="Arial Narrow" w:ascii="Arial Narrow" w:hAnsi="Arial Narrow"/>
          <w:sz w:val="18"/>
        </w:rPr>
        <w:t>(b)  The "</w:t>
      </w:r>
      <w:r>
        <w:rPr>
          <w:rFonts w:cs="Arial Narrow" w:ascii="Arial Narrow" w:hAnsi="Arial Narrow"/>
          <w:sz w:val="18"/>
          <w:u w:val="single"/>
        </w:rPr>
        <w:t>Collateral Requirement</w:t>
      </w:r>
      <w:r>
        <w:rPr>
          <w:rFonts w:cs="Arial Narrow" w:ascii="Arial Narrow" w:hAnsi="Arial Narrow"/>
          <w:sz w:val="18"/>
        </w:rPr>
        <w:t>" for a Non-Exposed Party shall mean the excess, if any, of (A) the sum of (i) the Exposed Party's Net Exposure plus (ii) the aggregate of all Additional Amounts applicable to the Non-Exposed Party minus the sum of (B):</w:t>
      </w:r>
    </w:p>
    <w:p>
      <w:pPr>
        <w:pStyle w:val="Normal"/>
        <w:tabs>
          <w:tab w:val="clear" w:pos="720"/>
          <w:tab w:val="left" w:pos="2160" w:leader="none"/>
        </w:tabs>
        <w:spacing w:before="240" w:after="0"/>
        <w:ind w:firstLine="180" w:start="360" w:end="0"/>
        <w:jc w:val="both"/>
        <w:rPr>
          <w:rFonts w:ascii="Arial Narrow" w:hAnsi="Arial Narrow" w:cs="Arial Narrow"/>
          <w:sz w:val="18"/>
        </w:rPr>
      </w:pPr>
      <w:r>
        <w:rPr>
          <w:rFonts w:cs="Arial Narrow" w:ascii="Arial Narrow" w:hAnsi="Arial Narrow"/>
          <w:sz w:val="18"/>
        </w:rPr>
        <w:t>(i) the Non-Exposed Party's Exposure Threshold; plus</w:t>
      </w:r>
    </w:p>
    <w:p>
      <w:pPr>
        <w:pStyle w:val="Normal"/>
        <w:tabs>
          <w:tab w:val="clear" w:pos="720"/>
          <w:tab w:val="left" w:pos="2160" w:leader="none"/>
        </w:tabs>
        <w:spacing w:before="240" w:after="0"/>
        <w:ind w:start="540" w:end="0"/>
        <w:jc w:val="both"/>
        <w:rPr>
          <w:rFonts w:ascii="Arial Narrow" w:hAnsi="Arial Narrow" w:cs="Arial Narrow"/>
          <w:sz w:val="18"/>
        </w:rPr>
      </w:pPr>
      <w:r>
        <w:rPr>
          <w:rFonts w:cs="Arial Narrow" w:ascii="Arial Narrow" w:hAnsi="Arial Narrow"/>
          <w:sz w:val="18"/>
        </w:rPr>
        <w:t>(ii) the amount of Cash previously Transferred by the Non-Exposed Party, the amount of Cash held by the Exposed Party as a result of drawing under any Letter of Credit, and any Interest Amount that has not yet been Transferred to the Non-Exposed Party; plus</w:t>
      </w:r>
    </w:p>
    <w:p>
      <w:pPr>
        <w:pStyle w:val="Normal"/>
        <w:tabs>
          <w:tab w:val="clear" w:pos="720"/>
          <w:tab w:val="left" w:pos="2160" w:leader="none"/>
        </w:tabs>
        <w:spacing w:before="240" w:after="0"/>
        <w:ind w:start="540" w:end="0"/>
        <w:jc w:val="both"/>
        <w:rPr>
          <w:rFonts w:ascii="Arial Narrow" w:hAnsi="Arial Narrow" w:cs="Arial Narrow"/>
          <w:sz w:val="18"/>
        </w:rPr>
      </w:pPr>
      <w:r>
        <w:rPr>
          <w:rFonts w:cs="Arial Narrow" w:ascii="Arial Narrow" w:hAnsi="Arial Narrow"/>
          <w:sz w:val="18"/>
        </w:rPr>
        <w:t>(iii) the Value of each Letter of Credit maintained by the Non-Exposed Party for the benefit of the Exposed Party.</w:t>
      </w:r>
    </w:p>
    <w:p>
      <w:pPr>
        <w:pStyle w:val="Normal"/>
        <w:spacing w:before="240" w:after="0"/>
        <w:jc w:val="both"/>
        <w:rPr/>
      </w:pPr>
      <w:r>
        <w:rPr>
          <w:rFonts w:cs="Arial Narrow" w:ascii="Arial Narrow" w:hAnsi="Arial Narrow"/>
          <w:sz w:val="18"/>
        </w:rPr>
        <w:t xml:space="preserve">III.  </w:t>
      </w:r>
      <w:r>
        <w:rPr>
          <w:rFonts w:cs="Arial Narrow" w:ascii="Arial Narrow" w:hAnsi="Arial Narrow"/>
          <w:sz w:val="18"/>
          <w:u w:val="single"/>
        </w:rPr>
        <w:t>Performance Assurance</w:t>
      </w:r>
      <w:r>
        <w:rPr>
          <w:rFonts w:cs="Arial Narrow" w:ascii="Arial Narrow" w:hAnsi="Arial Narrow"/>
          <w:sz w:val="18"/>
        </w:rPr>
        <w:t>.  (a)  If, on any Business Day, a Non-Exposed Party's Collateral Requirement shall exceed One Dollar ($1.00) and provided that (i) no Event of Default or Potential Event of Default or Accelerated Termination Date as a result of an Event of Change with respect to the Exposed Party shall have occurred and be continuing and (ii) no Early Termination Date or Accelerated Termination Date has occurred or been designated as a result of an Event of Default or an Event of Change with respect to the Exposed Party for which any unsatisfied payment obligations of the Exposed Party exist, then the Exposed Party may demand that the Non-Exposed Party Transfer, so long as there is a Collateral Requirement in excess of One Dollar ($1.00) (subject to increase or reduction of Performance Assurance as provided herein), Performance Assurance for the benefit of the Exposed Party in an amount equal to or greater than the Non-Exposed Party's Collateral Requirement; provided, however, that the amount of Performance Assurance provided by the Non-Exposed Party shall be rounded up to the nearest integral multiple of $100,000.</w:t>
      </w:r>
    </w:p>
    <w:p>
      <w:pPr>
        <w:pStyle w:val="Normal"/>
        <w:spacing w:before="240" w:after="0"/>
        <w:ind w:firstLine="360" w:end="0"/>
        <w:jc w:val="both"/>
        <w:rPr>
          <w:rFonts w:ascii="Arial Narrow" w:hAnsi="Arial Narrow" w:cs="Arial Narrow"/>
          <w:sz w:val="18"/>
        </w:rPr>
      </w:pPr>
      <w:r>
        <w:rPr>
          <w:rFonts w:cs="Arial Narrow" w:ascii="Arial Narrow" w:hAnsi="Arial Narrow"/>
          <w:sz w:val="18"/>
        </w:rPr>
        <w:t>(b)  On any Business Day (but no more frequently than weekly with respect to Letters of Credit and daily with respect to Cash), a Requesting Party may request a reduction in the amount of Performance Assurance previously provided by the Requesting Party for the benefit of the Non-Requesting Party, provided that, after the requested reduction in Performance Assurance, (i) the Requesting Party shall then have a Collateral Requirement of zero; (ii) if at such time there are outstanding Transactions between the parties or unsatisfied obligations from the Requesting Party to the Non-Requesting Party exist with respect to any Transactions, the Non-Requesting Party shall retain any Additional Amounts applicable to the Requesting Party; (iii) no Event of Default or Potential Event of Default or Accelerated Termination Date as a result of an Event of Change with respect to the Requesting Party shall have occurred and be continuing; and (iv) no Early Termination Date or Accelerated Termination Date for which any unsatisfied payment obligations of the Requesting Party exist has occurred or been designated as a result of an Event of Default or an Event of Change with respect to the Requesting Party.  A permitted reduction in Performance Assurance may be effected by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In all cases, the cost and expense of reducing Performance Assurance (including but not limited to the reasonable costs, expenses, and attorneys' fees of the Non-Requesting Party) shall be borne by the Requesting Party.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 Non-Requesting Party shall not unreasonably withhold its consent to a commensurate reduction in the amount of such Letter of Credit and shall take such action as is reasonably necessary to effectuate such reduction.</w:t>
      </w:r>
    </w:p>
    <w:p>
      <w:pPr>
        <w:pStyle w:val="Normal"/>
        <w:spacing w:before="240" w:after="0"/>
        <w:jc w:val="both"/>
        <w:rPr/>
      </w:pPr>
      <w:r>
        <w:rPr>
          <w:rFonts w:cs="Arial Narrow" w:ascii="Arial Narrow" w:hAnsi="Arial Narrow"/>
          <w:sz w:val="18"/>
        </w:rPr>
        <w:t xml:space="preserve">IV.  </w:t>
      </w:r>
      <w:r>
        <w:rPr>
          <w:rFonts w:cs="Arial Narrow" w:ascii="Arial Narrow" w:hAnsi="Arial Narrow"/>
          <w:sz w:val="18"/>
          <w:u w:val="single"/>
        </w:rPr>
        <w:t>Delivery</w:t>
      </w:r>
      <w:r>
        <w:rPr>
          <w:rFonts w:cs="Arial Narrow" w:ascii="Arial Narrow" w:hAnsi="Arial Narrow"/>
          <w:sz w:val="18"/>
        </w:rPr>
        <w:t>.  Unless otherwise agreed in writing by the parties, Performance Assurance demanded of a Non-Exposed Party by 10:00 a.m., New York time, on a Business Day shall be provided by the close of business on the next succeeding Business Day; provided, however, that Letters of Credit shall be Transferred by the close of business on the second succeeding Business Day.  Any Letter of Credit shall be delivered to such address as the Exposed Party shall specify.  The demand sent, pursuant to the preceding sentence, by the Exposed Party shall specify account information for the account to which Performance Assurance in the form of Cash may be delivered.  Following the failure of the Non-Exposed Party to provide, increase, renew, substitute, or maintain (as the case may be) Performance Assurance as required herein, the Non-Exposed Party shall be entitled to one (1) Business Day, after notice from the Exposed Party of such failure, to cure such failure.</w:t>
      </w:r>
    </w:p>
    <w:p>
      <w:pPr>
        <w:pStyle w:val="Normal"/>
        <w:spacing w:before="240" w:after="0"/>
        <w:jc w:val="both"/>
        <w:rPr/>
      </w:pPr>
      <w:r>
        <w:rPr>
          <w:rFonts w:cs="Arial Narrow" w:ascii="Arial Narrow" w:hAnsi="Arial Narrow"/>
          <w:sz w:val="18"/>
        </w:rPr>
        <w:t xml:space="preserve">V.  </w:t>
      </w:r>
      <w:r>
        <w:rPr>
          <w:rFonts w:cs="Arial Narrow" w:ascii="Arial Narrow" w:hAnsi="Arial Narrow"/>
          <w:sz w:val="18"/>
          <w:u w:val="single"/>
        </w:rPr>
        <w:t>Exposure Disputes</w:t>
      </w:r>
      <w:r>
        <w:rPr>
          <w:rFonts w:cs="Arial Narrow" w:ascii="Arial Narrow" w:hAnsi="Arial Narrow"/>
          <w:sz w:val="18"/>
        </w:rPr>
        <w:t>.  (a)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its Collateral Requirement in accordance with Section II.  In all such cases, the parties thereafter shall promptly consult with each other in order to reconcile the two conflicting amounts.  If the parties have not been able to resolve their dispute on or before the third Business Day following the date that the demand is made by the Exposed Party, then the Exposed Party shall recalculate its Net Exposure by requesting quotations from Reference Market-Makers (taking the arithmetic average of those obtained to obtain the average Current Value) for the purpose of recalculating the Current Value of each Transaction in respect of which the parties disagree as to the Current Value thereof, and the Exposed Party shall inform the Non-Exposed Party of the results of such recalculation (in reasonable detail).  Performance Assurance shall thereupon be provided, returned, or reduced, if necessary, in accordance with the results of such recalculation.</w:t>
      </w:r>
    </w:p>
    <w:p>
      <w:pPr>
        <w:pStyle w:val="Normal"/>
        <w:spacing w:before="240" w:after="0"/>
        <w:ind w:firstLine="360" w:end="0"/>
        <w:jc w:val="both"/>
        <w:rPr>
          <w:rFonts w:ascii="Arial Narrow" w:hAnsi="Arial Narrow" w:cs="Arial Narrow"/>
          <w:sz w:val="18"/>
        </w:rPr>
      </w:pPr>
      <w:r>
        <w:rPr>
          <w:rFonts w:cs="Arial Narrow" w:ascii="Arial Narrow" w:hAnsi="Arial Narrow"/>
          <w:sz w:val="18"/>
        </w:rPr>
        <w:t>(b)  If the Non-Requesting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effect the reduction of Performance Assurance to or for the benefit of the Requesting Party in an amount equal to the Non-Requesting Party's own estimate, made in good faith and in a commercially reasonable manner, of the Requesting Party’s Collateral Requirement not later than the close of business on the second Business Day following the date that the demand is made by the Requesting Party.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(taking the arithmetic average of those obtained to obtain the average Current Value) for the purpose of recalculating the Current Value of each Transaction in respect of which the parties disagree as to the Current Value thereof, and the Non-Requesting Party shall inform the Requesting Party of the results of such recalculation (in reasonable detail).  Performance Assurance shall thereupon be provided, returned, or reduced, if necessary, in accordance with the results of such recalculation.</w:t>
      </w:r>
    </w:p>
    <w:p>
      <w:pPr>
        <w:pStyle w:val="Normal"/>
        <w:spacing w:before="240" w:after="0"/>
        <w:jc w:val="both"/>
        <w:rPr/>
      </w:pPr>
      <w:r>
        <w:rPr>
          <w:rFonts w:cs="Arial Narrow" w:ascii="Arial Narrow" w:hAnsi="Arial Narrow"/>
          <w:sz w:val="18"/>
        </w:rPr>
        <w:t xml:space="preserve">VI.  </w:t>
      </w:r>
      <w:r>
        <w:rPr>
          <w:rFonts w:cs="Arial Narrow" w:ascii="Arial Narrow" w:hAnsi="Arial Narrow"/>
          <w:sz w:val="18"/>
          <w:u w:val="single"/>
        </w:rPr>
        <w:t>Letters of Credit</w:t>
      </w:r>
      <w:r>
        <w:rPr>
          <w:rFonts w:cs="Arial Narrow" w:ascii="Arial Narrow" w:hAnsi="Arial Narrow"/>
          <w:sz w:val="18"/>
        </w:rPr>
        <w:t>.  Performance Assurance provided in the form of a Letter of Credit shall be subject to the following provisions.</w:t>
      </w:r>
    </w:p>
    <w:p>
      <w:pPr>
        <w:pStyle w:val="Normal"/>
        <w:spacing w:before="240" w:after="0"/>
        <w:ind w:firstLine="360" w:end="0"/>
        <w:jc w:val="both"/>
        <w:rPr>
          <w:rFonts w:ascii="Arial Narrow" w:hAnsi="Arial Narrow" w:cs="Arial Narrow"/>
          <w:sz w:val="18"/>
        </w:rPr>
      </w:pPr>
      <w:r>
        <w:rPr>
          <w:rFonts w:cs="Arial Narrow" w:ascii="Arial Narrow" w:hAnsi="Arial Narrow"/>
          <w:sz w:val="18"/>
        </w:rPr>
        <w:t>(a)  Unless otherwise agreed in writing by the parties, each Letter of Credit shall be provided in accordance with Section IV,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Collateral, in each case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either a substitute Letter of Credit that is issued by a bank acceptable to the Exposed Party or other Eligible Collateral, in each case within two (2) Business Days after such refusal, provided that, as a result of the Non-Exposed Party's failure to perform in accordance with (i), (ii), or (iii) above, the Non-Exposed Party's Collateral Requirement would be greater than zero.</w:t>
      </w:r>
    </w:p>
    <w:p>
      <w:pPr>
        <w:pStyle w:val="Normal"/>
        <w:spacing w:before="240" w:after="0"/>
        <w:ind w:firstLine="360" w:end="0"/>
        <w:jc w:val="both"/>
        <w:rPr>
          <w:rFonts w:ascii="Arial Narrow" w:hAnsi="Arial Narrow" w:cs="Arial Narrow"/>
          <w:sz w:val="18"/>
        </w:rPr>
      </w:pPr>
      <w:r>
        <w:rPr>
          <w:rFonts w:cs="Arial Narrow" w:ascii="Arial Narrow" w:hAnsi="Arial Narrow"/>
          <w:sz w:val="18"/>
        </w:rPr>
        <w:t>(b)  As one method of providing Performance Assurance, the Non-Exposed Party may increase the amount of an outstanding Letter of Credit or establish one or more additional Letters of Credit.</w:t>
      </w:r>
    </w:p>
    <w:p>
      <w:pPr>
        <w:pStyle w:val="Normal"/>
        <w:spacing w:before="240" w:after="0"/>
        <w:ind w:firstLine="180" w:start="180" w:end="0"/>
        <w:jc w:val="both"/>
        <w:rPr>
          <w:rFonts w:ascii="Arial Narrow" w:hAnsi="Arial Narrow" w:cs="Arial Narrow"/>
          <w:sz w:val="18"/>
        </w:rPr>
      </w:pPr>
      <w:r>
        <w:rPr>
          <w:rFonts w:cs="Arial Narrow" w:ascii="Arial Narrow" w:hAnsi="Arial Narrow"/>
          <w:sz w:val="18"/>
        </w:rPr>
        <w:t>(c)  (i)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Master Agreement (including any related notice or grace period or both).  A Letter of Credit shall provide that a drawing may be made on the Letter of Credit upon submission to the bank issuing the Letter of Credit of one or more certificates specifying the amounts due and owing to the Exposed Party in accordance with the specific requirements of the Letter of Credit.</w:t>
      </w:r>
    </w:p>
    <w:p>
      <w:pPr>
        <w:pStyle w:val="Normal"/>
        <w:spacing w:before="240" w:after="0"/>
        <w:ind w:firstLine="180" w:start="180" w:end="0"/>
        <w:jc w:val="both"/>
        <w:rPr>
          <w:rFonts w:ascii="Arial Narrow" w:hAnsi="Arial Narrow" w:cs="Arial Narrow"/>
          <w:sz w:val="18"/>
        </w:rPr>
      </w:pPr>
      <w:r>
        <w:rPr>
          <w:rFonts w:cs="Arial Narrow" w:ascii="Arial Narrow" w:hAnsi="Arial Narrow"/>
          <w:sz w:val="18"/>
        </w:rPr>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Performance Assurance as security for the Non-Exposed Party’s obligations to the Exposed Party and the Exposed Party shall have the rights and remedies set forth in Section IX with respect to such cash proceeds.  Notwithstanding the Exposed Party’s receipt of Cash under the Letter of Credit, the Non-Exposed Party shall remain liable (y) for any failure to Transfer sufficient Performance Assurance or (z) for any amounts owing to the Exposed Party and remaining unpaid after the application of the amounts so drawn by the Exposed Party.</w:t>
      </w:r>
    </w:p>
    <w:p>
      <w:pPr>
        <w:pStyle w:val="Normal"/>
        <w:spacing w:before="240" w:after="0"/>
        <w:ind w:firstLine="360" w:end="0"/>
        <w:jc w:val="both"/>
        <w:rPr>
          <w:rFonts w:ascii="Arial Narrow" w:hAnsi="Arial Narrow" w:cs="Arial Narrow"/>
          <w:sz w:val="18"/>
        </w:rPr>
      </w:pPr>
      <w:r>
        <w:rPr>
          <w:rFonts w:cs="Arial Narrow" w:ascii="Arial Narrow" w:hAnsi="Arial Narrow"/>
          <w:sz w:val="18"/>
        </w:rPr>
        <w:t>(d)  Upon or at any time after the occurrence of an Accelerated Termination Date as a result of an Event of Change and the failure of the Non-Exposed Party to make all payments due and owing to the Exposed Party in accordance with the terms of the Agreement (including any related grace or notice period or both),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spacing w:before="240" w:after="0"/>
        <w:ind w:firstLine="360" w:end="0"/>
        <w:jc w:val="both"/>
        <w:rPr>
          <w:rFonts w:ascii="Arial Narrow" w:hAnsi="Arial Narrow" w:cs="Arial Narrow"/>
          <w:sz w:val="18"/>
        </w:rPr>
      </w:pPr>
      <w:r>
        <w:rPr>
          <w:rFonts w:cs="Arial Narrow" w:ascii="Arial Narrow" w:hAnsi="Arial Narrow"/>
          <w:sz w:val="18"/>
        </w:rPr>
        <w:t>(e)  A Non-Exposed Party may substitute a Letter of Credit for one or more other outstanding Letter(s) of Credit issued for the benefit of the Exposed Party, provided that the Value of such substitute Letter of Credit shall be at least equal to the Value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ind w:firstLine="1440" w:end="0"/>
        <w:jc w:val="both"/>
        <w:rPr>
          <w:rFonts w:ascii="Arial Narrow" w:hAnsi="Arial Narrow" w:cs="Arial Narrow"/>
          <w:sz w:val="18"/>
        </w:rPr>
      </w:pPr>
      <w:r>
        <w:rPr>
          <w:rFonts w:cs="Arial Narrow" w:ascii="Arial Narrow" w:hAnsi="Arial Narrow"/>
          <w:sz w:val="18"/>
        </w:rPr>
      </w:r>
    </w:p>
    <w:p>
      <w:pPr>
        <w:pStyle w:val="Normal"/>
        <w:ind w:firstLine="360" w:end="0"/>
        <w:jc w:val="both"/>
        <w:rPr>
          <w:rFonts w:ascii="Arial Narrow" w:hAnsi="Arial Narrow" w:cs="Arial Narrow"/>
          <w:sz w:val="18"/>
        </w:rPr>
      </w:pPr>
      <w:r>
        <w:rPr>
          <w:rFonts w:cs="Arial Narrow" w:ascii="Arial Narrow" w:hAnsi="Arial Narrow"/>
          <w:sz w:val="18"/>
        </w:rPr>
        <w:t>(f)  Upon the occurrence of a Letter of Credit Default, the Non-Exposed Party agrees to deliver to the Exposed Party either a substitute Letter of Credit or other Eligible Collateral, in each case on or before the second Business Day after the occurrence thereof (or the fifth (5th) Business Day after the occurrence thereof if only clause (i) under the definition of Letter of Credit Default applies).</w:t>
      </w:r>
    </w:p>
    <w:p>
      <w:pPr>
        <w:pStyle w:val="Normal"/>
        <w:spacing w:before="240" w:after="0"/>
        <w:ind w:firstLine="360" w:end="0"/>
        <w:jc w:val="both"/>
        <w:rPr>
          <w:rFonts w:ascii="Arial Narrow" w:hAnsi="Arial Narrow" w:cs="Arial Narrow"/>
          <w:sz w:val="18"/>
        </w:rPr>
      </w:pPr>
      <w:r>
        <w:rPr>
          <w:rFonts w:cs="Arial Narrow" w:ascii="Arial Narrow" w:hAnsi="Arial Narrow"/>
          <w:sz w:val="18"/>
        </w:rPr>
        <w:t>(g)  In all cases, the costs and expenses (including but not limited to the reasonable costs, expenses, and attorneys' fees of the Exposed Party) of establishing, renewing, substituting, canceling, and increasing the amount of (as the case may be) a Letter of Credit shall be borne by the Non-Exposed Party.</w:t>
      </w:r>
    </w:p>
    <w:p>
      <w:pPr>
        <w:pStyle w:val="Normal"/>
        <w:spacing w:before="240" w:after="0"/>
        <w:jc w:val="both"/>
        <w:rPr/>
      </w:pPr>
      <w:r>
        <w:rPr>
          <w:rFonts w:cs="Arial Narrow" w:ascii="Arial Narrow" w:hAnsi="Arial Narrow"/>
          <w:sz w:val="18"/>
        </w:rPr>
        <w:t xml:space="preserve">VII.  </w:t>
      </w:r>
      <w:r>
        <w:rPr>
          <w:rFonts w:cs="Arial Narrow" w:ascii="Arial Narrow" w:hAnsi="Arial Narrow"/>
          <w:sz w:val="18"/>
          <w:u w:val="single"/>
        </w:rPr>
        <w:t>Cash</w:t>
      </w:r>
      <w:r>
        <w:rPr>
          <w:rFonts w:cs="Arial Narrow" w:ascii="Arial Narrow" w:hAnsi="Arial Narrow"/>
          <w:sz w:val="18"/>
        </w:rPr>
        <w:t>.  Performance Assurance provided in the form of Cash shall be subject to the following provisions.</w:t>
      </w:r>
    </w:p>
    <w:p>
      <w:pPr>
        <w:pStyle w:val="Normal"/>
        <w:spacing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Eligibility to Hold Cash</w:t>
      </w:r>
      <w:r>
        <w:rPr>
          <w:rFonts w:cs="Arial Narrow" w:ascii="Arial Narrow" w:hAnsi="Arial Narrow"/>
          <w:sz w:val="18"/>
        </w:rPr>
        <w:t>.</w:t>
      </w:r>
    </w:p>
    <w:p>
      <w:pPr>
        <w:pStyle w:val="Normal"/>
        <w:spacing w:before="240" w:after="0"/>
        <w:ind w:firstLine="360" w:end="0"/>
        <w:jc w:val="both"/>
        <w:rPr/>
      </w:pPr>
      <w:r>
        <w:rPr>
          <w:rFonts w:cs="Arial Narrow" w:ascii="Arial Narrow" w:hAnsi="Arial Narrow"/>
          <w:sz w:val="18"/>
        </w:rPr>
        <w:t>(i) if ENA is the Exposed Party, ENA will be entitled to hold Cash or to appoint an agent (a "Custodian") to hold Cash for it provided that the following conditions are satisfied: (1) it is not a Defaulting Party, (2) its Credit Support Provider has a Credit Rating from S&amp;P and the lowest Credit Rating for its Credit Support Provider is "BBB-" or higher by S&amp;P</w:t>
      </w:r>
      <w:r>
        <w:rPr>
          <w:rFonts w:cs="Arial Narrow" w:ascii="Arial Narrow" w:hAnsi="Arial Narrow"/>
          <w:color w:val="000000"/>
          <w:sz w:val="18"/>
        </w:rPr>
        <w:t>; and</w:t>
      </w:r>
      <w:r>
        <w:rPr>
          <w:rFonts w:cs="Arial Narrow" w:ascii="Arial Narrow" w:hAnsi="Arial Narrow"/>
          <w:sz w:val="18"/>
        </w:rPr>
        <w:t xml:space="preserve"> (3) Cash shall be held only in any jurisdiction within the United States.</w:t>
      </w:r>
    </w:p>
    <w:p>
      <w:pPr>
        <w:pStyle w:val="Normal"/>
        <w:spacing w:before="240" w:after="0"/>
        <w:ind w:firstLine="360" w:end="0"/>
        <w:jc w:val="both"/>
        <w:rPr/>
      </w:pPr>
      <w:r>
        <w:rPr>
          <w:rFonts w:cs="Arial Narrow" w:ascii="Arial Narrow" w:hAnsi="Arial Narrow"/>
          <w:sz w:val="18"/>
        </w:rPr>
        <w:t>(ii) if Counterparty is the Exposed Party, Counterparty will be entitled to hold Cash or to appoint a Custodian to hold Cash for it provided the following conditions are satisfied:  (1) it is not a Defaulting Party, (2) no Material Adverse Change has occurred with respect to Counterparty</w:t>
      </w:r>
      <w:r>
        <w:rPr>
          <w:rFonts w:cs="Arial Narrow" w:ascii="Arial Narrow" w:hAnsi="Arial Narrow"/>
          <w:color w:val="000000"/>
          <w:sz w:val="18"/>
        </w:rPr>
        <w:t xml:space="preserve">, and </w:t>
      </w:r>
      <w:r>
        <w:rPr>
          <w:rFonts w:cs="Arial Narrow" w:ascii="Arial Narrow" w:hAnsi="Arial Narrow"/>
          <w:sz w:val="18"/>
        </w:rPr>
        <w:t>(3) Cash shall be held only in any jurisdiction within the United States.</w:t>
      </w:r>
    </w:p>
    <w:p>
      <w:pPr>
        <w:pStyle w:val="BodyText"/>
        <w:rPr>
          <w:sz w:val="18"/>
        </w:rPr>
      </w:pPr>
      <w:r>
        <w:rPr>
          <w:sz w:val="18"/>
        </w:rPr>
        <w:t>Upon notice by the Exposed Party to the Non-Exposed Party of the appointment of a Custodian, the Non-Exposed Party's obligations to make any Transfer will be discharged by making the Transfer to that Custodian.  The holding of Cash by a Custodian will be deemed to be the holding of Cash by the Exposed Party for which the Custodian is acting.  If the Exposed Party fails to satisfy any conditions for holding Cash as set forth above, then the Exposed Party will Transfer or cause the Custodian to Transfer the Cash to a Qualified Institution (as defined herein) and the Cash shall be maintained in accordance with Sections VII(b) and (c), with the party not eligible to hold Cash being considered the "Downgraded Party" (as defined in Section VII(b)).  The Exposed Party will be liable for the acts or omissions of its Custodian to the same extent that the Exposed Party would be liable hereunder for its own acts or omissions.</w:t>
      </w:r>
    </w:p>
    <w:p>
      <w:pPr>
        <w:pStyle w:val="Normal"/>
        <w:spacing w:before="240" w:after="0"/>
        <w:ind w:firstLine="360" w:end="0"/>
        <w:jc w:val="both"/>
        <w:rPr/>
      </w:pPr>
      <w:r>
        <w:rPr>
          <w:rFonts w:cs="Arial Narrow" w:ascii="Arial Narrow" w:hAnsi="Arial Narrow"/>
          <w:sz w:val="18"/>
        </w:rPr>
        <w:t xml:space="preserve">(b)  </w:t>
      </w:r>
      <w:r>
        <w:rPr>
          <w:rFonts w:cs="Arial Narrow" w:ascii="Arial Narrow" w:hAnsi="Arial Narrow"/>
          <w:sz w:val="18"/>
          <w:u w:val="single"/>
        </w:rPr>
        <w:t>Use of Cash</w:t>
      </w:r>
      <w:r>
        <w:rPr>
          <w:rFonts w:cs="Arial Narrow" w:ascii="Arial Narrow" w:hAnsi="Arial Narrow"/>
          <w:sz w:val="18"/>
        </w:rPr>
        <w:t xml:space="preserve">.  Notwithstanding the provisions of applicable law, if the Exposed Party is not a Defaulting Party, no Event of Change has occurred with respect to the Exposed Party and no Early Termination Date or Accelerated Termination Date has occurred or been designated as a result of an Event of Default or an Event of Change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 </w:t>
      </w:r>
      <w:r>
        <w:rPr>
          <w:rFonts w:cs="Arial Narrow" w:ascii="Arial Narrow" w:hAnsi="Arial Narrow"/>
          <w:sz w:val="18"/>
          <w:u w:val="single"/>
        </w:rPr>
        <w:t>provided, however</w:t>
      </w:r>
      <w:r>
        <w:rPr>
          <w:rFonts w:cs="Arial Narrow" w:ascii="Arial Narrow" w:hAnsi="Arial Narrow"/>
          <w:sz w:val="18"/>
        </w:rPr>
        <w:t>, that if a party is not eligible to hold Cash pursuant to Section VII(a) (such party shall be the "Downgraded Party" and the event that caused it to be ineligible to hold Cash shall be a "Credit Rating Event") then:</w:t>
      </w:r>
    </w:p>
    <w:p>
      <w:pPr>
        <w:pStyle w:val="Normal"/>
        <w:spacing w:before="240" w:after="0"/>
        <w:ind w:start="360" w:end="0"/>
        <w:jc w:val="both"/>
        <w:rPr>
          <w:rFonts w:ascii="Arial Narrow" w:hAnsi="Arial Narrow" w:cs="Arial Narrow"/>
          <w:sz w:val="18"/>
        </w:rPr>
      </w:pPr>
      <w:r>
        <w:rPr>
          <w:rFonts w:cs="Arial Narrow" w:ascii="Arial Narrow" w:hAnsi="Arial Narrow"/>
          <w:sz w:val="18"/>
        </w:rPr>
        <w:t>(1)   the provisions of this Section VII(b) will not apply with respect to the Downgraded Party; and</w:t>
      </w:r>
    </w:p>
    <w:p>
      <w:pPr>
        <w:pStyle w:val="Normal"/>
        <w:spacing w:before="240" w:after="0"/>
        <w:ind w:start="360" w:end="0"/>
        <w:jc w:val="both"/>
        <w:rPr>
          <w:rFonts w:ascii="Arial Narrow" w:hAnsi="Arial Narrow" w:cs="Arial Narrow"/>
          <w:sz w:val="18"/>
        </w:rPr>
      </w:pPr>
      <w:r>
        <w:rPr>
          <w:rFonts w:cs="Arial Narrow" w:ascii="Arial Narrow" w:hAnsi="Arial Narrow"/>
          <w:sz w:val="18"/>
        </w:rPr>
        <w:t>(2)   the Downgraded Party shall be required to deliver (or cause to be delivered) not later than the close of business on the second Business Day following such Credit Rating Event all Cash in its possession or held on its behalf to a commercial bank or trust company organized under the law of the United States or a political subdivision thereof, with a Credit Rating of at least "A-" by S&amp;P or "A3" in the case of Moody's ("Qualified Institution"), approved by the non-Downgraded Party (which approval shall not be unreasonably withheld), to a segregated, safekeeping or custody account ("Collateral Account")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Annex and for the security interest of the Downgraded Party and, subject to such security interest, for the ownership of the non-Downgraded Party.</w:t>
      </w:r>
    </w:p>
    <w:p>
      <w:pPr>
        <w:pStyle w:val="Normal"/>
        <w:spacing w:before="240" w:after="0"/>
        <w:ind w:firstLine="180" w:start="180" w:end="0"/>
        <w:jc w:val="both"/>
        <w:rPr/>
      </w:pPr>
      <w:r>
        <w:rPr>
          <w:rFonts w:cs="Arial Narrow" w:ascii="Arial Narrow" w:hAnsi="Arial Narrow"/>
          <w:sz w:val="18"/>
        </w:rPr>
        <w:t xml:space="preserve">(c)  </w:t>
      </w:r>
      <w:r>
        <w:rPr>
          <w:rFonts w:cs="Arial Narrow" w:ascii="Arial Narrow" w:hAnsi="Arial Narrow"/>
          <w:sz w:val="18"/>
          <w:u w:val="single"/>
        </w:rPr>
        <w:t>Interest Payments on Cash</w:t>
      </w:r>
      <w:r>
        <w:rPr>
          <w:rFonts w:cs="Arial Narrow" w:ascii="Arial Narrow" w:hAnsi="Arial Narrow"/>
          <w:sz w:val="18"/>
        </w:rPr>
        <w:t>.  (i) Subject to the provisions of Section VII(c)(ii) below and so long as no Event of Default, Potential Event of Default or Event of Change with respect to the Non-Exposed Party has occurred and is continuing, and no Early Termination Date or Accelerated Termination Date for which any unsatisfied payment obligations of the Non-Exposed Party exist has occurred or been designated as the result of an Event of Default or an Event of Change with respect to the Non-Exposed Party and to the extent that an obligation to deliver Performance Assurance would not be created or increased by the Transfer, the Exposed Party will Transfer to the Non-Exposed Party, in lieu of any interest or other amounts paid or deemed to have been paid with respect to the Cash (all of which may be retained by the Exposed Party), the Interest Amount (as defined below) on the last Business Day of each calendar month.  On or after the occurrence of an Event of Default or an Event of Change with respect to the Non-Exposed Party or an Early Termination Date or Accelerated Termination Date as a result of an Event of Default or an Event of Change with respect to the Non-Exposed Party, the Exposed Party shall retain any such Interest Amount as additional Eligible Collateral hereunder until the obligations of the Non-Exposed Party under the Agreement have been satisfied.</w:t>
      </w:r>
    </w:p>
    <w:p>
      <w:pPr>
        <w:pStyle w:val="Normal"/>
        <w:spacing w:before="240" w:after="0"/>
        <w:ind w:firstLine="180" w:start="180" w:end="0"/>
        <w:jc w:val="both"/>
        <w:rPr>
          <w:rFonts w:ascii="Arial Narrow" w:hAnsi="Arial Narrow" w:cs="Arial Narrow"/>
          <w:sz w:val="18"/>
        </w:rPr>
      </w:pPr>
      <w:r>
        <w:rPr>
          <w:rFonts w:cs="Arial Narrow" w:ascii="Arial Narrow" w:hAnsi="Arial Narrow"/>
          <w:sz w:val="18"/>
        </w:rPr>
        <w:t>The term "Interest Amount"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on that day; multiplied by (y) the Interest Rate (as defined herein) for that day: divided by (z) 360.  "Interest Period"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"Interest Rate" shall be the Federal Funds Overnight Rate as from time to time in effect.  "Federal Funds Overnight Rate" means the rate for that day opposite the caption "Federal Funds (Effective)" as set forth in the weekly statistical release designated as H.15(519), or any successor publication, published by the Board of Governors of the Federal Reserve System.</w:t>
      </w:r>
    </w:p>
    <w:p>
      <w:pPr>
        <w:pStyle w:val="Normal"/>
        <w:spacing w:before="240" w:after="0"/>
        <w:ind w:start="180" w:end="0"/>
        <w:jc w:val="both"/>
        <w:rPr>
          <w:rFonts w:ascii="Arial Narrow" w:hAnsi="Arial Narrow" w:cs="Arial Narrow"/>
          <w:sz w:val="18"/>
        </w:rPr>
      </w:pPr>
      <w:r>
        <w:rPr>
          <w:rFonts w:cs="Arial Narrow" w:ascii="Arial Narrow" w:hAnsi="Arial Narrow"/>
          <w:sz w:val="18"/>
        </w:rPr>
        <w:t>(ii) If in accordance with the provisions of Section VII(b), a party is not permitted to use Cash either as a result of a Credit Rating Event or otherwise, the provisions of Section VII(c)(i) will not apply with respect to Cash and the investment of Cash shall be governed as follows:</w:t>
      </w:r>
    </w:p>
    <w:p>
      <w:pPr>
        <w:pStyle w:val="Normal"/>
        <w:spacing w:before="240" w:after="0"/>
        <w:ind w:firstLine="270" w:start="360" w:end="0"/>
        <w:jc w:val="both"/>
        <w:rPr>
          <w:rFonts w:ascii="Arial Narrow" w:hAnsi="Arial Narrow" w:cs="Arial Narrow"/>
          <w:sz w:val="18"/>
        </w:rPr>
      </w:pPr>
      <w:r>
        <w:rPr>
          <w:rFonts w:cs="Arial Narrow" w:ascii="Arial Narrow" w:hAnsi="Arial Narrow"/>
          <w:sz w:val="18"/>
        </w:rPr>
        <w:t>The Qualified Institution holding the Cash will invest and reinvest or procure the investment and reinvestment of the Cash in accordance with the written instructions of the Non-Exposed Party, subject to the approval of such instructions by the Exposed Party (which approval shall not be unreasonably withheld), provided that the Exposed Party shall not be required to so invest or reinvest or procure such investment or reinvestment if an Event of Default, Potential Event of Default or Accelerated Termination Date as a result of an Event of Change with respect to the Non-Exposed Party shall have occurred and be continuing.  The Exposed Party shall have no responsibility for any losses resulting from any investment or reinvestment effected in accordance with the Non-Exposed Party's instructions.</w:t>
      </w:r>
    </w:p>
    <w:p>
      <w:pPr>
        <w:pStyle w:val="Normal"/>
        <w:spacing w:before="240" w:after="0"/>
        <w:ind w:firstLine="360" w:end="0"/>
        <w:jc w:val="both"/>
        <w:rPr/>
      </w:pPr>
      <w:r>
        <w:rPr>
          <w:rFonts w:cs="Arial Narrow" w:ascii="Arial Narrow" w:hAnsi="Arial Narrow"/>
          <w:sz w:val="18"/>
        </w:rPr>
        <w:t xml:space="preserve">(d)  </w:t>
      </w:r>
      <w:r>
        <w:rPr>
          <w:rFonts w:cs="Arial Narrow" w:ascii="Arial Narrow" w:hAnsi="Arial Narrow"/>
          <w:sz w:val="18"/>
          <w:u w:val="single"/>
        </w:rPr>
        <w:t>Care of Cash</w:t>
      </w:r>
      <w:r>
        <w:rPr>
          <w:rFonts w:cs="Arial Narrow" w:ascii="Arial Narrow" w:hAnsi="Arial Narrow"/>
          <w:sz w:val="18"/>
        </w:rPr>
        <w:t>.  Without limiting the Exposed Party's rights under Paragraph VII(b), the Exposed Party will exercise reasonable care to assure the safe custody of all Cash held by it as Performance Assurance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 including, without limitation, any duty to enforce or preserve any rights pertaining thereto.</w:t>
      </w:r>
    </w:p>
    <w:p>
      <w:pPr>
        <w:pStyle w:val="Normal"/>
        <w:spacing w:before="240" w:after="0"/>
        <w:jc w:val="both"/>
        <w:rPr/>
      </w:pPr>
      <w:r>
        <w:rPr>
          <w:rFonts w:cs="Arial Narrow" w:ascii="Arial Narrow" w:hAnsi="Arial Narrow"/>
          <w:sz w:val="18"/>
        </w:rPr>
        <w:t xml:space="preserve">VIII.  </w:t>
      </w:r>
      <w:r>
        <w:rPr>
          <w:rFonts w:cs="Arial Narrow" w:ascii="Arial Narrow" w:hAnsi="Arial Narrow"/>
          <w:sz w:val="18"/>
          <w:u w:val="single"/>
        </w:rPr>
        <w:t>Representations</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Performance Assurance (other than Letters of Credit) that it provides as the Non-Exposed Party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Performance Assurance,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Performance Assurance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spacing w:before="240" w:after="0"/>
        <w:jc w:val="both"/>
        <w:rPr>
          <w:rFonts w:ascii="Arial Narrow" w:hAnsi="Arial Narrow" w:cs="Arial Narrow"/>
          <w:sz w:val="18"/>
        </w:rPr>
      </w:pPr>
      <w:r>
        <w:rPr>
          <w:rFonts w:cs="Arial Narrow" w:ascii="Arial Narrow" w:hAnsi="Arial Narrow"/>
          <w:sz w:val="18"/>
        </w:rPr>
        <w:t xml:space="preserve">IX.  </w:t>
      </w:r>
      <w:r>
        <w:rPr>
          <w:rFonts w:cs="Arial Narrow" w:ascii="Arial Narrow" w:hAnsi="Arial Narrow"/>
          <w:sz w:val="18"/>
          <w:u w:val="single"/>
        </w:rPr>
        <w:t>Certain Rights and Remedies.</w:t>
      </w:r>
    </w:p>
    <w:p>
      <w:pPr>
        <w:pStyle w:val="Normal"/>
        <w:spacing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Exposed Party's Rights and Remedies</w:t>
      </w:r>
      <w:r>
        <w:rPr>
          <w:rFonts w:cs="Arial Narrow" w:ascii="Arial Narrow" w:hAnsi="Arial Narrow"/>
          <w:sz w:val="18"/>
        </w:rPr>
        <w:t>.  If at any time (i) an Event of Default or Event of Change with respect to the Non-Exposed Party has occurred and is continuing or (ii) an Early Termination Date or Accelerated Termination Date has occurred or been designated as a result of an Event of Default or an Event of Change with respect to the Non-Exposed Party, then the Exposed Party may do any one or more of the following: (x) exercise any of the rights and remedies of a secured party with respect to the Performance Assurance, including any such rights and remedies under law then in effect; (y) exercise its rights of setoff against any and all property of the Non-Exposed Party in the possession of the Exposed Party or its agent; and (z) draw on any outstanding Letter of Credit issued for its benefit.  The Exposed Party shall either (y) apply the proceeds of the Performance Assurance realized upon the exercise of any such rights or remedies to reduce the Non-Exposed Party's obligations under the Agreement or this Annex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under the Agreement or this Annex.</w:t>
      </w:r>
    </w:p>
    <w:p>
      <w:pPr>
        <w:pStyle w:val="Normal"/>
        <w:spacing w:before="240" w:after="0"/>
        <w:ind w:firstLine="360" w:end="0"/>
        <w:jc w:val="both"/>
        <w:rPr/>
      </w:pPr>
      <w:r>
        <w:rPr>
          <w:rFonts w:cs="Arial Narrow" w:ascii="Arial Narrow" w:hAnsi="Arial Narrow"/>
          <w:sz w:val="18"/>
        </w:rPr>
        <w:t xml:space="preserve">(b)  </w:t>
      </w:r>
      <w:r>
        <w:rPr>
          <w:rFonts w:cs="Arial Narrow" w:ascii="Arial Narrow" w:hAnsi="Arial Narrow"/>
          <w:sz w:val="18"/>
          <w:u w:val="single"/>
        </w:rPr>
        <w:t>Non-Exposed Party's Rights and Remedies</w:t>
      </w:r>
      <w:r>
        <w:rPr>
          <w:rFonts w:cs="Arial Narrow" w:ascii="Arial Narrow" w:hAnsi="Arial Narrow"/>
          <w:sz w:val="18"/>
        </w:rPr>
        <w:t>.  If at any time an Early Termination Date or Accelerated Termination Date has occurred or been designated as the result of an Event of Default or Event of Change with respect to the Exposed Party, then, unless the Accelerated Termination Date relates to less than all Transactions where the Exposed Party has made all payments due and owing to the Non-Exposed Party:</w:t>
      </w:r>
    </w:p>
    <w:p>
      <w:pPr>
        <w:pStyle w:val="Normal"/>
        <w:spacing w:before="240" w:after="0"/>
        <w:ind w:start="360" w:end="0"/>
        <w:jc w:val="both"/>
        <w:rPr>
          <w:rFonts w:ascii="Arial Narrow" w:hAnsi="Arial Narrow" w:cs="Arial Narrow"/>
          <w:sz w:val="18"/>
        </w:rPr>
      </w:pPr>
      <w:r>
        <w:rPr>
          <w:rFonts w:cs="Arial Narrow" w:ascii="Arial Narrow" w:hAnsi="Arial Narrow"/>
          <w:sz w:val="18"/>
        </w:rPr>
        <w:t>(1)  the Exposed Party will be obligated immediately to Transfer all Performance Assurance (other than Letters of Credit) and the Interest Amount, if any, to the Non-Exposed Party; and</w:t>
      </w:r>
    </w:p>
    <w:p>
      <w:pPr>
        <w:pStyle w:val="Normal"/>
        <w:spacing w:before="240" w:after="0"/>
        <w:ind w:start="360" w:end="0"/>
        <w:jc w:val="both"/>
        <w:rPr>
          <w:rFonts w:ascii="Arial Narrow" w:hAnsi="Arial Narrow" w:cs="Arial Narrow"/>
          <w:sz w:val="18"/>
        </w:rPr>
      </w:pPr>
      <w:r>
        <w:rPr>
          <w:rFonts w:cs="Arial Narrow" w:ascii="Arial Narrow" w:hAnsi="Arial Narrow"/>
          <w:sz w:val="18"/>
        </w:rPr>
        <w:t>(2)  the Non-Exposed Party may do any one or more of the following: (x) exercise any of the rights and remedies of a pledgor with respect to the Performance Assurance (other than Letters of Credit), including any such rights and remedies under law then in effect; (y) to the extent that the Performance Assurance (other than Letters of Credit) or the Interest Amount is not Transferred to the Non-Exposed Party as required in (1) above, setoff amounts payable to the Exposed Party against the Performance Assurance (other than Letters of Credit) held by the Exposed Party or to the extent its rights to setoff are not exercised, withhold payment of any remaining amounts payable by the Non-Exposed Party, up to the value of any remaining Performance Assurance (other than Letters of Credit) held by the Exposed Party, until the Performance Assurance (other than Letters of Credit) is Transferred to the Non-Exposed Party; and (z) exercise rights and remedies available to the Non-Exposed Party under the terms of any Letter of Credit.</w:t>
      </w:r>
    </w:p>
    <w:p>
      <w:pPr>
        <w:pStyle w:val="Normal"/>
        <w:spacing w:before="240" w:after="0"/>
        <w:jc w:val="both"/>
        <w:rPr/>
      </w:pPr>
      <w:r>
        <w:rPr>
          <w:rFonts w:cs="Arial Narrow" w:ascii="Arial Narrow" w:hAnsi="Arial Narrow"/>
          <w:sz w:val="18"/>
        </w:rPr>
        <w:t xml:space="preserve">X.  </w:t>
      </w:r>
      <w:r>
        <w:rPr>
          <w:rFonts w:cs="Arial Narrow" w:ascii="Arial Narrow" w:hAnsi="Arial Narrow"/>
          <w:sz w:val="18"/>
          <w:u w:val="single"/>
        </w:rPr>
        <w:t>General</w:t>
      </w:r>
      <w:r>
        <w:rPr>
          <w:rFonts w:cs="Arial Narrow" w:ascii="Arial Narrow" w:hAnsi="Arial Narrow"/>
          <w:sz w:val="18"/>
        </w:rPr>
        <w:t>.</w:t>
      </w:r>
    </w:p>
    <w:p>
      <w:pPr>
        <w:pStyle w:val="Normal"/>
        <w:spacing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Security Interest</w:t>
      </w:r>
      <w:r>
        <w:rPr>
          <w:rFonts w:cs="Arial Narrow" w:ascii="Arial Narrow" w:hAnsi="Arial Narrow"/>
          <w:sz w:val="18"/>
        </w:rPr>
        <w:t>.  To secure its obligations under the Master Agreement and all outstanding Transactions, each party hereby grants to the other party a present and continuing first-priority security interest in, and lien on (and right of setoff against), all Performance Assurance (other than Letters of Credit) whether now or hereafter held by, on behalf of, or for the benefit of, such other party, and each party agrees to take such action as the other party reasonably requires in order to perfect the other party's first-priority continuing security interest in, and lien on (and right of setoff against), such Performance Assurance.</w:t>
      </w:r>
    </w:p>
    <w:p>
      <w:pPr>
        <w:pStyle w:val="Normal"/>
        <w:spacing w:before="240" w:after="0"/>
        <w:ind w:firstLine="360" w:end="0"/>
        <w:jc w:val="both"/>
        <w:rPr/>
      </w:pPr>
      <w:r>
        <w:rPr>
          <w:rFonts w:cs="Arial Narrow" w:ascii="Arial Narrow" w:hAnsi="Arial Narrow"/>
          <w:sz w:val="18"/>
        </w:rPr>
        <w:t xml:space="preserve">(b)  </w:t>
      </w:r>
      <w:r>
        <w:rPr>
          <w:rFonts w:cs="Arial Narrow" w:ascii="Arial Narrow" w:hAnsi="Arial Narrow"/>
          <w:sz w:val="18"/>
          <w:u w:val="single"/>
        </w:rPr>
        <w:t>Substitutions</w:t>
      </w:r>
      <w:r>
        <w:rPr>
          <w:rFonts w:cs="Arial Narrow" w:ascii="Arial Narrow" w:hAnsi="Arial Narrow"/>
          <w:sz w:val="18"/>
        </w:rPr>
        <w:t>.  (i)  Upon notice to the Exposed Party specifying the items of Performance Assurance to be exchanged, the Non-Exposed Party may, on any Business Day, Transfer to the Exposed Party substitute Performance Assurance (the "Substitute Performance Assurance"); and</w:t>
      </w:r>
    </w:p>
    <w:p>
      <w:pPr>
        <w:pStyle w:val="Normal"/>
        <w:spacing w:before="240" w:after="0"/>
        <w:ind w:firstLine="360" w:end="0"/>
        <w:jc w:val="both"/>
        <w:rPr/>
      </w:pPr>
      <w:r>
        <w:rPr>
          <w:rFonts w:cs="Arial Narrow" w:ascii="Arial Narrow" w:hAnsi="Arial Narrow"/>
          <w:sz w:val="18"/>
        </w:rPr>
        <w:t xml:space="preserve">(ii)  Provided that no Event of Default or Potential Event of Default or Event of Change has occurred and is continuing with respect to the Non-Exposed Party and that no Early Termination Date or Accelerated Termination Date has occurred or been designated as the result of an Event of Default or Event of Change with respect to the Non-Exposed Party, the Exposed Party will Transfer to the Non-Exposed Party the items of Performance Assurance specified by the Non-Exposed Party in its notice not later than two (2) Business Days following the date on which the Exposed Party receives the Substitute Performance Assurance; </w:t>
      </w:r>
      <w:r>
        <w:rPr>
          <w:rFonts w:cs="Arial Narrow" w:ascii="Arial Narrow" w:hAnsi="Arial Narrow"/>
          <w:sz w:val="18"/>
          <w:u w:val="single"/>
        </w:rPr>
        <w:t>provided</w:t>
      </w:r>
      <w:r>
        <w:rPr>
          <w:rFonts w:cs="Arial Narrow" w:ascii="Arial Narrow" w:hAnsi="Arial Narrow"/>
          <w:sz w:val="18"/>
        </w:rPr>
        <w:t xml:space="preserve"> that the Exposed Party will only be obligated to Transfer Performance Assurance with a Value as of the date of Transfer of that Performance Assurance equal to the Value as of that date of the Substitute Performance Assurance.</w:t>
      </w:r>
    </w:p>
    <w:p>
      <w:pPr>
        <w:pStyle w:val="Normal"/>
        <w:spacing w:before="240" w:after="0"/>
        <w:ind w:firstLine="360" w:end="0"/>
        <w:jc w:val="both"/>
        <w:rPr/>
      </w:pPr>
      <w:r>
        <w:rPr>
          <w:rFonts w:cs="Arial Narrow" w:ascii="Arial Narrow" w:hAnsi="Arial Narrow"/>
          <w:sz w:val="18"/>
        </w:rPr>
        <w:t xml:space="preserve">(c)  </w:t>
      </w:r>
      <w:r>
        <w:rPr>
          <w:rFonts w:cs="Arial Narrow" w:ascii="Arial Narrow" w:hAnsi="Arial Narrow"/>
          <w:sz w:val="18"/>
          <w:u w:val="single"/>
        </w:rPr>
        <w:t>Expenses</w:t>
      </w:r>
      <w:r>
        <w:rPr>
          <w:rFonts w:cs="Arial Narrow" w:ascii="Arial Narrow" w:hAnsi="Arial Narrow"/>
          <w:sz w:val="18"/>
        </w:rPr>
        <w:t>.  (i) Except as expressly set forth in this Annex or the Master Agreement,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firstLine="360" w:end="0"/>
        <w:jc w:val="both"/>
        <w:rPr>
          <w:rFonts w:ascii="Arial Narrow" w:hAnsi="Arial Narrow" w:cs="Arial Narrow"/>
          <w:sz w:val="18"/>
        </w:rPr>
      </w:pPr>
      <w:r>
        <w:rPr>
          <w:rFonts w:cs="Arial Narrow" w:ascii="Arial Narrow" w:hAnsi="Arial Narrow"/>
          <w:sz w:val="18"/>
        </w:rPr>
        <w:t>(ii)  The Non-Exposed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VII(b), except for those taxes, assessments and charges that result from the exercise of the Exposed Party's rights under Section VII(b).</w:t>
      </w:r>
    </w:p>
    <w:p>
      <w:pPr>
        <w:sectPr>
          <w:footerReference w:type="default" r:id="rId10"/>
          <w:footerReference w:type="first" r:id="rId11"/>
          <w:type w:val="nextPage"/>
          <w:pgSz w:w="12240" w:h="15840"/>
          <w:pgMar w:left="1008" w:right="1008" w:gutter="0" w:header="0" w:top="1008" w:footer="720" w:bottom="1008"/>
          <w:pgNumType w:start="1" w:fmt="decimal"/>
          <w:cols w:num="2" w:space="708" w:equalWidth="true" w:sep="false"/>
          <w:formProt w:val="false"/>
          <w:textDirection w:val="lrTb"/>
          <w:docGrid w:type="default" w:linePitch="360" w:charSpace="0"/>
        </w:sectPr>
        <w:pStyle w:val="Normal"/>
        <w:spacing w:before="240" w:after="0"/>
        <w:ind w:firstLine="360" w:end="0"/>
        <w:jc w:val="both"/>
        <w:rPr>
          <w:rFonts w:ascii="Arial Narrow" w:hAnsi="Arial Narrow" w:cs="Arial Narrow"/>
          <w:sz w:val="18"/>
        </w:rPr>
      </w:pPr>
      <w:r>
        <w:rPr>
          <w:rFonts w:cs="Arial Narrow" w:ascii="Arial Narrow" w:hAnsi="Arial Narrow"/>
          <w:sz w:val="18"/>
        </w:rPr>
        <w:t>(iii)  All reasonable costs and expenses incurred by or on behalf of the Exposed Party or the Non-Exposed Party in connection with the liquidation and/or application of any Performance Assurance under Section IX will be payable, on demand and pursuant to the Master Agreement, by the Defaulting Party or, if there is no Defaulting Party, equally by the parties.</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TRANSFERABLE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jc w:val="center"/>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Master Agreement dated as of ___________________, 19___, between beneficiary and Account Party, as the same may have been amended (the "Master Agreement")) has occurred and is continuing with respect to Account Party under the Master Agreement."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rFonts w:ascii="Arial Narrow" w:hAnsi="Arial Narrow" w:cs="Arial Narrow"/>
          <w:sz w:val="18"/>
        </w:rPr>
      </w:pPr>
      <w:r>
        <w:rPr>
          <w:rFonts w:cs="Arial Narrow" w:ascii="Arial Narrow" w:hAnsi="Arial Narrow"/>
          <w:sz w:val="18"/>
        </w:rPr>
        <w:t>[BANK SIGNATURE]</w:t>
      </w:r>
    </w:p>
    <w:p>
      <w:pPr>
        <w:pStyle w:val="Normal"/>
        <w:jc w:val="center"/>
        <w:rPr>
          <w:rFonts w:ascii="Arial Narrow" w:hAnsi="Arial Narrow" w:cs="Arial Narrow"/>
          <w:sz w:val="18"/>
        </w:rPr>
      </w:pPr>
      <w:r>
        <w:rPr>
          <w:rFonts w:cs="Arial Narrow" w:ascii="Arial Narrow" w:hAnsi="Arial Narrow"/>
          <w:sz w:val="18"/>
        </w:rPr>
      </w:r>
    </w:p>
    <w:p>
      <w:pPr>
        <w:pStyle w:val="Header"/>
        <w:rPr>
          <w:rFonts w:ascii="Arial Narrow" w:hAnsi="Arial Narrow" w:cs="Arial Narrow"/>
          <w:sz w:val="18"/>
        </w:rPr>
      </w:pPr>
      <w:r>
        <w:rPr>
          <w:rFonts w:cs="Arial Narrow" w:ascii="Arial Narrow" w:hAnsi="Arial Narrow"/>
          <w:sz w:val="18"/>
        </w:rPr>
      </w:r>
    </w:p>
    <w:p>
      <w:pPr>
        <w:sectPr>
          <w:footerReference w:type="default" r:id="rId12"/>
          <w:footerReference w:type="first" r:id="rId13"/>
          <w:type w:val="nextPage"/>
          <w:pgSz w:w="12240" w:h="15840"/>
          <w:pgMar w:left="1008" w:right="1008" w:gutter="0" w:header="0" w:top="720" w:footer="576" w:bottom="720"/>
          <w:pgNumType w:fmt="decimal"/>
          <w:formProt w:val="false"/>
          <w:textDirection w:val="lrTb"/>
          <w:docGrid w:type="default" w:linePitch="360" w:charSpace="0"/>
        </w:sectPr>
        <w:pStyle w:val="Head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 TO MASTER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ASSIGNMENT AND ASSUMPTION AGREEMENT</w:t>
      </w:r>
    </w:p>
    <w:p>
      <w:pPr>
        <w:pStyle w:val="Normal"/>
        <w:jc w:val="center"/>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Assignment and Assumption Agreement, dated as of ___________, 2000 ("Assignment Agreement") is by and among STATEX PETROLEUM I, L.P., A Texas limited partnership ("Assignor") and INTERNATIONAL BANK OF COMMERCE ("Assignee") and ENRON NORTH AMERICA CORP. (“Enron”).  Unless otherwise defined herein, capitalized terms used herein shall have the meanings assigned to such terms in the Master Agreement.</w:t>
      </w:r>
    </w:p>
    <w:p>
      <w:pPr>
        <w:pStyle w:val="Normal"/>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W I T N E S S E T H</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ab/>
      </w:r>
      <w:r>
        <w:rPr>
          <w:rFonts w:cs="Arial Narrow" w:ascii="Arial Narrow" w:hAnsi="Arial Narrow"/>
          <w:sz w:val="18"/>
        </w:rPr>
        <w:t>WHEREAS,</w:t>
      </w:r>
      <w:r>
        <w:rPr>
          <w:rFonts w:cs="Arial Narrow" w:ascii="Arial Narrow" w:hAnsi="Arial Narrow"/>
          <w:b/>
          <w:sz w:val="18"/>
        </w:rPr>
        <w:t xml:space="preserve"> </w:t>
      </w:r>
      <w:r>
        <w:rPr>
          <w:rFonts w:cs="Arial Narrow" w:ascii="Arial Narrow" w:hAnsi="Arial Narrow"/>
          <w:sz w:val="18"/>
        </w:rPr>
        <w:t>Assignor and Enron desire to enter into a number of energy price swap or option transactions identified on Annex 1 attached hereto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WHEREAS, Assignor and Enron have entered into a Master Agreement dated as of March __, 2000, as the same may have from time to time been modified, amended and supplemented (“Master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WHEREAS, Assignor desires to assign and delegate to Assignee all of its rights, duties and obligations in the Master Agreement and the Transactions entered into pursuant thereto, and Assignee desires to accept such assignment and delegation and to assume such rights, duties and obligations, in accordance with the terms hereof; and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WHEREAS, Assignor desires to obtain the written consent of Enron to such assignment, delegation and assumption and Enron desires to grant such consent in accordance with the terms 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NOW, THEREFORE, in consideration of the premises and of the mutual agreements herein contained, the parties hereto agree as follows:</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jc w:val="both"/>
        <w:rPr>
          <w:rFonts w:ascii="Arial Narrow" w:hAnsi="Arial Narrow" w:cs="Arial Narrow"/>
          <w:sz w:val="18"/>
        </w:rPr>
      </w:pPr>
      <w:r>
        <w:rPr>
          <w:rFonts w:cs="Arial Narrow" w:ascii="Arial Narrow" w:hAnsi="Arial Narrow"/>
          <w:sz w:val="18"/>
          <w:u w:val="single"/>
        </w:rPr>
        <w:t>Assignment, Assumption and Release</w:t>
      </w:r>
      <w:r>
        <w:rPr>
          <w:rFonts w:cs="Arial Narrow" w:ascii="Arial Narrow" w:hAnsi="Arial Narrow"/>
          <w:sz w:val="18"/>
        </w:rPr>
        <w:t>.  Effective as of and from __________, 2000 ("Assignment Effective Date"), Assignor hereby assigns and delegates to Assignee all Assignor’s rights, duties and obligations under the Transactions, the Master Agreement and the relevant Credit Support Documents and Assignee hereby accepts such assignment and delegation and assumes such rights, duties and obligations.  As of and from the Assignment Effective Date, Assignor shall be fully released from all rights, duties and obligations under the Transactions, the Master Agreement and the relevant Credit Support Documents.</w:t>
      </w:r>
    </w:p>
    <w:p>
      <w:pPr>
        <w:pStyle w:val="Normal"/>
        <w:numPr>
          <w:ilvl w:val="0"/>
          <w:numId w:val="0"/>
        </w:numPr>
        <w:ind w:hanging="360" w:start="360" w:end="0"/>
        <w:jc w:val="both"/>
        <w:rPr>
          <w:rFonts w:ascii="Arial Narrow" w:hAnsi="Arial Narrow" w:cs="Arial Narrow"/>
          <w:sz w:val="18"/>
        </w:rPr>
      </w:pPr>
      <w:r>
        <w:rPr>
          <w:rFonts w:cs="Arial Narrow" w:ascii="Arial Narrow" w:hAnsi="Arial Narrow"/>
          <w:sz w:val="18"/>
        </w:rPr>
      </w:r>
    </w:p>
    <w:p>
      <w:pPr>
        <w:pStyle w:val="Normal"/>
        <w:numPr>
          <w:ilvl w:val="0"/>
          <w:numId w:val="2"/>
        </w:numPr>
        <w:jc w:val="both"/>
        <w:rPr>
          <w:rFonts w:ascii="Arial Narrow" w:hAnsi="Arial Narrow" w:cs="Arial Narrow"/>
          <w:sz w:val="18"/>
        </w:rPr>
      </w:pPr>
      <w:r>
        <w:rPr>
          <w:rFonts w:cs="Arial Narrow" w:ascii="Arial Narrow" w:hAnsi="Arial Narrow"/>
          <w:sz w:val="18"/>
          <w:u w:val="single"/>
        </w:rPr>
        <w:t>Master Agreement</w:t>
      </w:r>
      <w:r>
        <w:rPr>
          <w:rFonts w:cs="Arial Narrow" w:ascii="Arial Narrow" w:hAnsi="Arial Narrow"/>
          <w:sz w:val="18"/>
        </w:rPr>
        <w:t>.  Enron and Assignee further agree that the Transactions shall be governed by and are subject to the Master Agreement.  Enron and Assignee agree that the Transactions shall constitute "Transactions" under the Master Agreement.</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jc w:val="both"/>
        <w:rPr>
          <w:rFonts w:ascii="Arial Narrow" w:hAnsi="Arial Narrow" w:cs="Arial Narrow"/>
          <w:sz w:val="18"/>
        </w:rPr>
      </w:pPr>
      <w:r>
        <w:rPr>
          <w:rFonts w:cs="Arial Narrow" w:ascii="Arial Narrow" w:hAnsi="Arial Narrow"/>
          <w:sz w:val="18"/>
          <w:u w:val="single"/>
        </w:rPr>
        <w:t>Representation</w:t>
      </w:r>
      <w:r>
        <w:rPr>
          <w:rFonts w:cs="Arial Narrow" w:ascii="Arial Narrow" w:hAnsi="Arial Narrow"/>
          <w:sz w:val="18"/>
        </w:rPr>
        <w:t>.  Each of the Assignor and the Assignee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w:t>
      </w:r>
    </w:p>
    <w:p>
      <w:pPr>
        <w:pStyle w:val="Normal"/>
        <w:numPr>
          <w:ilvl w:val="0"/>
          <w:numId w:val="0"/>
        </w:numPr>
        <w:ind w:hanging="360" w:start="360" w:end="0"/>
        <w:jc w:val="both"/>
        <w:rPr>
          <w:rFonts w:ascii="Arial Narrow" w:hAnsi="Arial Narrow" w:cs="Arial Narrow"/>
          <w:sz w:val="18"/>
        </w:rPr>
      </w:pPr>
      <w:r>
        <w:rPr>
          <w:rFonts w:cs="Arial Narrow" w:ascii="Arial Narrow" w:hAnsi="Arial Narrow"/>
          <w:sz w:val="18"/>
        </w:rPr>
      </w:r>
    </w:p>
    <w:p>
      <w:pPr>
        <w:pStyle w:val="Normal"/>
        <w:numPr>
          <w:ilvl w:val="0"/>
          <w:numId w:val="2"/>
        </w:numPr>
        <w:jc w:val="both"/>
        <w:rPr>
          <w:rFonts w:ascii="Arial Narrow" w:hAnsi="Arial Narrow" w:cs="Arial Narrow"/>
          <w:sz w:val="18"/>
        </w:rPr>
      </w:pPr>
      <w:r>
        <w:rPr>
          <w:rFonts w:cs="Arial Narrow" w:ascii="Arial Narrow" w:hAnsi="Arial Narrow"/>
          <w:sz w:val="18"/>
          <w:u w:val="single"/>
        </w:rPr>
        <w:t>Governing Law</w:t>
      </w:r>
      <w:r>
        <w:rPr>
          <w:rFonts w:cs="Arial Narrow" w:ascii="Arial Narrow" w:hAnsi="Arial Narrow"/>
          <w:sz w:val="18"/>
        </w:rPr>
        <w:t>.  This Assignment Agreement shall be governed by and construed in accordance with the laws of the State of Texas.</w:t>
      </w:r>
    </w:p>
    <w:p>
      <w:pPr>
        <w:pStyle w:val="Normal"/>
        <w:numPr>
          <w:ilvl w:val="0"/>
          <w:numId w:val="0"/>
        </w:numPr>
        <w:ind w:hanging="360" w:start="360" w:end="0"/>
        <w:jc w:val="both"/>
        <w:rPr>
          <w:rFonts w:ascii="Arial Narrow" w:hAnsi="Arial Narrow" w:cs="Arial Narrow"/>
          <w:sz w:val="18"/>
        </w:rPr>
      </w:pPr>
      <w:r>
        <w:rPr>
          <w:rFonts w:cs="Arial Narrow" w:ascii="Arial Narrow" w:hAnsi="Arial Narrow"/>
          <w:sz w:val="18"/>
        </w:rPr>
      </w:r>
    </w:p>
    <w:p>
      <w:pPr>
        <w:pStyle w:val="Normal"/>
        <w:numPr>
          <w:ilvl w:val="0"/>
          <w:numId w:val="2"/>
        </w:numPr>
        <w:jc w:val="both"/>
        <w:rPr>
          <w:rFonts w:ascii="Arial Narrow" w:hAnsi="Arial Narrow" w:cs="Arial Narrow"/>
          <w:sz w:val="18"/>
        </w:rPr>
      </w:pPr>
      <w:r>
        <w:rPr>
          <w:rFonts w:cs="Arial Narrow" w:ascii="Arial Narrow" w:hAnsi="Arial Narrow"/>
          <w:sz w:val="18"/>
          <w:u w:val="single"/>
        </w:rPr>
        <w:t>Counterparts</w:t>
      </w:r>
      <w:r>
        <w:rPr>
          <w:rFonts w:cs="Arial Narrow" w:ascii="Arial Narrow" w:hAnsi="Arial Narrow"/>
          <w:sz w:val="18"/>
        </w:rPr>
        <w:t>.  This Assignment Agreement may be executed in any number of counterparts, each of which shall be deemed an original instrument and all of which when taken together shall constitute one and the same agreement.</w:t>
      </w:r>
    </w:p>
    <w:p>
      <w:pPr>
        <w:pStyle w:val="Normal"/>
        <w:numPr>
          <w:ilvl w:val="0"/>
          <w:numId w:val="0"/>
        </w:numPr>
        <w:ind w:hanging="360" w:start="360" w:end="0"/>
        <w:jc w:val="both"/>
        <w:rPr>
          <w:rFonts w:ascii="Arial Narrow" w:hAnsi="Arial Narrow" w:cs="Arial Narrow"/>
          <w:sz w:val="18"/>
        </w:rPr>
      </w:pPr>
      <w:r>
        <w:rPr>
          <w:rFonts w:cs="Arial Narrow" w:ascii="Arial Narrow" w:hAnsi="Arial Narrow"/>
          <w:sz w:val="18"/>
        </w:rPr>
      </w:r>
    </w:p>
    <w:p>
      <w:pPr>
        <w:pStyle w:val="Normal"/>
        <w:numPr>
          <w:ilvl w:val="0"/>
          <w:numId w:val="2"/>
        </w:numPr>
        <w:jc w:val="both"/>
        <w:rPr>
          <w:rFonts w:ascii="Arial Narrow" w:hAnsi="Arial Narrow" w:cs="Arial Narrow"/>
          <w:sz w:val="18"/>
        </w:rPr>
      </w:pPr>
      <w:r>
        <w:rPr>
          <w:rFonts w:cs="Arial Narrow" w:ascii="Arial Narrow" w:hAnsi="Arial Narrow"/>
          <w:sz w:val="18"/>
          <w:u w:val="single"/>
        </w:rPr>
        <w:t>Consent and Acknowledgment of Enron</w:t>
      </w:r>
      <w:r>
        <w:rPr>
          <w:rFonts w:cs="Arial Narrow" w:ascii="Arial Narrow" w:hAnsi="Arial Narrow"/>
          <w:sz w:val="18"/>
        </w:rPr>
        <w:t>.  Enron hereby consents to the assignment and delegation by Assignor to Assignee of all the rights, duties and obligations of the Assignor under the Transactions, the Master Agreement and the relevant Credit Support Documents and acknowledges that Assignor shall be fully released as of and from the Assignment Effective Date from its rights, duties and obligations under such agreements.</w:t>
      </w:r>
      <w:r>
        <w:br w:type="page"/>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ab/>
      </w:r>
      <w:r>
        <w:rPr>
          <w:rFonts w:cs="Arial Narrow" w:ascii="Arial Narrow" w:hAnsi="Arial Narrow"/>
          <w:sz w:val="18"/>
        </w:rPr>
        <w:t>IN WITNESS WHEREOF, the parties hereto have executed this Assignment Agreement as of the date first above written.</w:t>
      </w:r>
    </w:p>
    <w:p>
      <w:pPr>
        <w:pStyle w:val="Normal"/>
        <w:jc w:val="both"/>
        <w:rPr>
          <w:rFonts w:ascii="Arial Narrow" w:hAnsi="Arial Narrow" w:cs="Arial Narrow"/>
          <w:sz w:val="18"/>
        </w:rPr>
      </w:pPr>
      <w:r>
        <w:rPr>
          <w:rFonts w:cs="Arial Narrow" w:ascii="Arial Narrow" w:hAnsi="Arial Narrow"/>
          <w:sz w:val="18"/>
        </w:rPr>
      </w:r>
    </w:p>
    <w:p>
      <w:pPr>
        <w:pStyle w:val="Normal"/>
        <w:ind w:start="4320" w:end="0"/>
        <w:jc w:val="both"/>
        <w:rPr>
          <w:rFonts w:ascii="Arial Narrow" w:hAnsi="Arial Narrow" w:cs="Arial Narrow"/>
          <w:sz w:val="18"/>
        </w:rPr>
      </w:pPr>
      <w:r>
        <w:rPr>
          <w:rFonts w:cs="Arial Narrow" w:ascii="Arial Narrow" w:hAnsi="Arial Narrow"/>
          <w:sz w:val="18"/>
        </w:rPr>
        <w:t>STATEX PETROLEUM I, L.P.</w:t>
      </w:r>
    </w:p>
    <w:p>
      <w:pPr>
        <w:pStyle w:val="Normal"/>
        <w:ind w:start="4320" w:end="0"/>
        <w:jc w:val="both"/>
        <w:rPr>
          <w:rFonts w:ascii="Arial Narrow" w:hAnsi="Arial Narrow" w:cs="Arial Narrow"/>
          <w:sz w:val="18"/>
        </w:rPr>
      </w:pPr>
      <w:r>
        <w:rPr>
          <w:rFonts w:cs="Arial Narrow" w:ascii="Arial Narrow" w:hAnsi="Arial Narrow"/>
          <w:sz w:val="18"/>
        </w:rPr>
      </w:r>
    </w:p>
    <w:p>
      <w:pPr>
        <w:pStyle w:val="Normal"/>
        <w:ind w:start="4320" w:end="0"/>
        <w:jc w:val="both"/>
        <w:rPr>
          <w:rFonts w:ascii="Arial Narrow" w:hAnsi="Arial Narrow" w:cs="Arial Narrow"/>
          <w:sz w:val="18"/>
        </w:rPr>
      </w:pPr>
      <w:r>
        <w:rPr>
          <w:rFonts w:cs="Arial Narrow" w:ascii="Arial Narrow" w:hAnsi="Arial Narrow"/>
          <w:sz w:val="18"/>
        </w:rPr>
        <w:t>By:  __________________________,</w:t>
      </w:r>
    </w:p>
    <w:p>
      <w:pPr>
        <w:pStyle w:val="Normal"/>
        <w:ind w:start="4320" w:end="0"/>
        <w:jc w:val="both"/>
        <w:rPr>
          <w:rFonts w:ascii="Arial Narrow" w:hAnsi="Arial Narrow" w:cs="Arial Narrow"/>
          <w:sz w:val="18"/>
        </w:rPr>
      </w:pPr>
      <w:r>
        <w:rPr>
          <w:rFonts w:cs="Arial Narrow" w:ascii="Arial Narrow" w:hAnsi="Arial Narrow"/>
          <w:sz w:val="18"/>
        </w:rPr>
        <w:tab/>
        <w:t>Its General Partner</w:t>
      </w:r>
    </w:p>
    <w:p>
      <w:pPr>
        <w:pStyle w:val="Normal"/>
        <w:ind w:start="4320" w:end="0"/>
        <w:jc w:val="both"/>
        <w:rPr>
          <w:rFonts w:ascii="Arial Narrow" w:hAnsi="Arial Narrow" w:cs="Arial Narrow"/>
          <w:sz w:val="18"/>
        </w:rPr>
      </w:pPr>
      <w:r>
        <w:rPr>
          <w:rFonts w:cs="Arial Narrow" w:ascii="Arial Narrow" w:hAnsi="Arial Narrow"/>
          <w:sz w:val="18"/>
        </w:rPr>
      </w:r>
    </w:p>
    <w:p>
      <w:pPr>
        <w:pStyle w:val="Normal"/>
        <w:ind w:start="4320" w:end="0"/>
        <w:jc w:val="both"/>
        <w:rPr>
          <w:rFonts w:ascii="Arial Narrow" w:hAnsi="Arial Narrow" w:cs="Arial Narrow"/>
          <w:sz w:val="18"/>
        </w:rPr>
      </w:pPr>
      <w:r>
        <w:rPr>
          <w:rFonts w:cs="Arial Narrow" w:ascii="Arial Narrow" w:hAnsi="Arial Narrow"/>
          <w:sz w:val="18"/>
        </w:rPr>
        <w:t>By:  _________________________________</w:t>
      </w:r>
    </w:p>
    <w:p>
      <w:pPr>
        <w:pStyle w:val="Normal"/>
        <w:ind w:start="4320" w:end="0"/>
        <w:jc w:val="both"/>
        <w:rPr>
          <w:rFonts w:ascii="Arial Narrow" w:hAnsi="Arial Narrow" w:cs="Arial Narrow"/>
          <w:sz w:val="18"/>
        </w:rPr>
      </w:pPr>
      <w:r>
        <w:rPr>
          <w:rFonts w:cs="Arial Narrow" w:ascii="Arial Narrow" w:hAnsi="Arial Narrow"/>
          <w:sz w:val="18"/>
        </w:rPr>
        <w:t>Name:  _______________________________</w:t>
      </w:r>
    </w:p>
    <w:p>
      <w:pPr>
        <w:pStyle w:val="Normal"/>
        <w:ind w:start="4320" w:end="0"/>
        <w:jc w:val="both"/>
        <w:rPr>
          <w:rFonts w:ascii="Arial Narrow" w:hAnsi="Arial Narrow" w:cs="Arial Narrow"/>
          <w:sz w:val="18"/>
        </w:rPr>
      </w:pPr>
      <w:r>
        <w:rPr>
          <w:rFonts w:cs="Arial Narrow" w:ascii="Arial Narrow" w:hAnsi="Arial Narrow"/>
          <w:sz w:val="18"/>
        </w:rPr>
        <w:t>Title:  ________________________________</w:t>
      </w:r>
    </w:p>
    <w:p>
      <w:pPr>
        <w:pStyle w:val="Normal"/>
        <w:ind w:start="4320" w:end="0"/>
        <w:jc w:val="both"/>
        <w:rPr>
          <w:rFonts w:ascii="Arial Narrow" w:hAnsi="Arial Narrow" w:cs="Arial Narrow"/>
          <w:sz w:val="18"/>
        </w:rPr>
      </w:pPr>
      <w:r>
        <w:rPr>
          <w:rFonts w:cs="Arial Narrow" w:ascii="Arial Narrow" w:hAnsi="Arial Narrow"/>
          <w:sz w:val="18"/>
        </w:rPr>
      </w:r>
    </w:p>
    <w:p>
      <w:pPr>
        <w:pStyle w:val="Normal"/>
        <w:ind w:start="4320" w:end="0"/>
        <w:jc w:val="both"/>
        <w:rPr>
          <w:rFonts w:ascii="Arial Narrow" w:hAnsi="Arial Narrow" w:cs="Arial Narrow"/>
          <w:sz w:val="18"/>
        </w:rPr>
      </w:pPr>
      <w:r>
        <w:rPr>
          <w:rFonts w:cs="Arial Narrow" w:ascii="Arial Narrow" w:hAnsi="Arial Narrow"/>
          <w:sz w:val="18"/>
        </w:rPr>
      </w:r>
    </w:p>
    <w:p>
      <w:pPr>
        <w:pStyle w:val="Normal"/>
        <w:ind w:start="4320" w:end="0"/>
        <w:jc w:val="both"/>
        <w:rPr>
          <w:rFonts w:ascii="Arial Narrow" w:hAnsi="Arial Narrow" w:cs="Arial Narrow"/>
          <w:sz w:val="18"/>
        </w:rPr>
      </w:pPr>
      <w:r>
        <w:rPr>
          <w:rFonts w:cs="Arial Narrow" w:ascii="Arial Narrow" w:hAnsi="Arial Narrow"/>
          <w:sz w:val="18"/>
        </w:rPr>
        <w:t>INTERNATIONAL BANK OF COMMERCE</w:t>
      </w:r>
    </w:p>
    <w:p>
      <w:pPr>
        <w:pStyle w:val="Normal"/>
        <w:ind w:start="4320" w:end="0"/>
        <w:jc w:val="both"/>
        <w:rPr>
          <w:rFonts w:ascii="Arial Narrow" w:hAnsi="Arial Narrow" w:cs="Arial Narrow"/>
          <w:sz w:val="18"/>
        </w:rPr>
      </w:pPr>
      <w:r>
        <w:rPr>
          <w:rFonts w:cs="Arial Narrow" w:ascii="Arial Narrow" w:hAnsi="Arial Narrow"/>
          <w:sz w:val="18"/>
        </w:rPr>
      </w:r>
    </w:p>
    <w:p>
      <w:pPr>
        <w:pStyle w:val="Normal"/>
        <w:ind w:start="4320" w:end="0"/>
        <w:jc w:val="both"/>
        <w:rPr>
          <w:rFonts w:ascii="Arial Narrow" w:hAnsi="Arial Narrow" w:cs="Arial Narrow"/>
          <w:sz w:val="18"/>
        </w:rPr>
      </w:pPr>
      <w:r>
        <w:rPr>
          <w:rFonts w:cs="Arial Narrow" w:ascii="Arial Narrow" w:hAnsi="Arial Narrow"/>
          <w:sz w:val="18"/>
        </w:rPr>
        <w:t>By:  _________________________________</w:t>
      </w:r>
    </w:p>
    <w:p>
      <w:pPr>
        <w:pStyle w:val="Normal"/>
        <w:ind w:start="4320" w:end="0"/>
        <w:jc w:val="both"/>
        <w:rPr>
          <w:rFonts w:ascii="Arial Narrow" w:hAnsi="Arial Narrow" w:cs="Arial Narrow"/>
          <w:sz w:val="18"/>
        </w:rPr>
      </w:pPr>
      <w:r>
        <w:rPr>
          <w:rFonts w:cs="Arial Narrow" w:ascii="Arial Narrow" w:hAnsi="Arial Narrow"/>
          <w:sz w:val="18"/>
        </w:rPr>
        <w:t>Name:  _______________________________</w:t>
      </w:r>
    </w:p>
    <w:p>
      <w:pPr>
        <w:pStyle w:val="Normal"/>
        <w:ind w:start="4320" w:end="0"/>
        <w:jc w:val="both"/>
        <w:rPr>
          <w:rFonts w:ascii="Arial Narrow" w:hAnsi="Arial Narrow" w:cs="Arial Narrow"/>
          <w:sz w:val="18"/>
        </w:rPr>
      </w:pPr>
      <w:r>
        <w:rPr>
          <w:rFonts w:cs="Arial Narrow" w:ascii="Arial Narrow" w:hAnsi="Arial Narrow"/>
          <w:sz w:val="18"/>
        </w:rPr>
        <w:t>Title:  ________________________________</w:t>
      </w:r>
    </w:p>
    <w:p>
      <w:pPr>
        <w:pStyle w:val="Normal"/>
        <w:ind w:start="4320" w:end="0"/>
        <w:jc w:val="both"/>
        <w:rPr>
          <w:rFonts w:ascii="Arial Narrow" w:hAnsi="Arial Narrow" w:cs="Arial Narrow"/>
          <w:sz w:val="18"/>
        </w:rPr>
      </w:pPr>
      <w:r>
        <w:rPr>
          <w:rFonts w:cs="Arial Narrow" w:ascii="Arial Narrow" w:hAnsi="Arial Narrow"/>
          <w:sz w:val="18"/>
        </w:rPr>
      </w:r>
    </w:p>
    <w:p>
      <w:pPr>
        <w:pStyle w:val="Normal"/>
        <w:ind w:start="4320" w:end="0"/>
        <w:jc w:val="both"/>
        <w:rPr>
          <w:rFonts w:ascii="Arial Narrow" w:hAnsi="Arial Narrow" w:cs="Arial Narrow"/>
          <w:sz w:val="18"/>
        </w:rPr>
      </w:pPr>
      <w:r>
        <w:rPr>
          <w:rFonts w:cs="Arial Narrow" w:ascii="Arial Narrow" w:hAnsi="Arial Narrow"/>
          <w:sz w:val="18"/>
        </w:rPr>
      </w:r>
    </w:p>
    <w:p>
      <w:pPr>
        <w:pStyle w:val="Normal"/>
        <w:ind w:start="4320" w:end="0"/>
        <w:rPr>
          <w:rFonts w:ascii="Arial Narrow" w:hAnsi="Arial Narrow" w:cs="Arial Narrow"/>
          <w:sz w:val="18"/>
        </w:rPr>
      </w:pPr>
      <w:r>
        <w:rPr>
          <w:rFonts w:cs="Arial Narrow" w:ascii="Arial Narrow" w:hAnsi="Arial Narrow"/>
          <w:sz w:val="18"/>
        </w:rPr>
        <w:t>ENRON NORTH AMERICA CORP.</w:t>
      </w:r>
    </w:p>
    <w:p>
      <w:pPr>
        <w:pStyle w:val="Normal"/>
        <w:ind w:start="4320" w:end="0"/>
        <w:jc w:val="both"/>
        <w:rPr>
          <w:rFonts w:ascii="Arial Narrow" w:hAnsi="Arial Narrow" w:cs="Arial Narrow"/>
          <w:sz w:val="18"/>
        </w:rPr>
      </w:pPr>
      <w:r>
        <w:rPr>
          <w:rFonts w:cs="Arial Narrow" w:ascii="Arial Narrow" w:hAnsi="Arial Narrow"/>
          <w:sz w:val="18"/>
        </w:rPr>
      </w:r>
    </w:p>
    <w:p>
      <w:pPr>
        <w:pStyle w:val="Normal"/>
        <w:ind w:start="4320" w:end="0"/>
        <w:jc w:val="both"/>
        <w:rPr>
          <w:rFonts w:ascii="Arial Narrow" w:hAnsi="Arial Narrow" w:cs="Arial Narrow"/>
          <w:sz w:val="18"/>
        </w:rPr>
      </w:pPr>
      <w:r>
        <w:rPr>
          <w:rFonts w:cs="Arial Narrow" w:ascii="Arial Narrow" w:hAnsi="Arial Narrow"/>
          <w:sz w:val="18"/>
        </w:rPr>
        <w:t>By:  _________________________________</w:t>
      </w:r>
    </w:p>
    <w:p>
      <w:pPr>
        <w:pStyle w:val="Normal"/>
        <w:ind w:start="4320" w:end="0"/>
        <w:jc w:val="both"/>
        <w:rPr>
          <w:rFonts w:ascii="Arial Narrow" w:hAnsi="Arial Narrow" w:cs="Arial Narrow"/>
          <w:sz w:val="18"/>
        </w:rPr>
      </w:pPr>
      <w:r>
        <w:rPr>
          <w:rFonts w:cs="Arial Narrow" w:ascii="Arial Narrow" w:hAnsi="Arial Narrow"/>
          <w:sz w:val="18"/>
        </w:rPr>
        <w:t>Name:  _______________________________</w:t>
      </w:r>
    </w:p>
    <w:p>
      <w:pPr>
        <w:sectPr>
          <w:footerReference w:type="default" r:id="rId14"/>
          <w:footerReference w:type="first" r:id="rId15"/>
          <w:type w:val="nextPage"/>
          <w:pgSz w:w="12240" w:h="15840"/>
          <w:pgMar w:left="1440" w:right="1440" w:gutter="0" w:header="0" w:top="1440" w:footer="720" w:bottom="1440"/>
          <w:pgNumType w:fmt="decimal"/>
          <w:formProt w:val="false"/>
          <w:textDirection w:val="lrTb"/>
          <w:docGrid w:type="default" w:linePitch="360" w:charSpace="0"/>
        </w:sectPr>
        <w:pStyle w:val="Normal"/>
        <w:ind w:start="4320" w:end="0"/>
        <w:jc w:val="both"/>
        <w:rPr>
          <w:rFonts w:ascii="Arial Narrow" w:hAnsi="Arial Narrow" w:cs="Arial Narrow"/>
          <w:sz w:val="18"/>
        </w:rPr>
      </w:pPr>
      <w:r>
        <w:rPr>
          <w:rFonts w:cs="Arial Narrow" w:ascii="Arial Narrow" w:hAnsi="Arial Narrow"/>
          <w:sz w:val="18"/>
        </w:rPr>
        <w:t>Title:  ________________________________</w:t>
      </w:r>
    </w:p>
    <w:p>
      <w:pPr>
        <w:pStyle w:val="TitleCB"/>
        <w:keepNext w:val="false"/>
        <w:spacing w:lineRule="auto" w:line="240" w:before="0" w:after="0"/>
        <w:rPr>
          <w:rFonts w:ascii="Arial Narrow" w:hAnsi="Arial Narrow" w:cs="Arial Narrow"/>
          <w:caps w:val="false"/>
          <w:smallCaps w:val="false"/>
          <w:sz w:val="18"/>
        </w:rPr>
      </w:pPr>
      <w:r>
        <w:rPr>
          <w:rFonts w:cs="Arial Narrow" w:ascii="Arial Narrow" w:hAnsi="Arial Narrow"/>
          <w:caps w:val="false"/>
          <w:smallCaps w:val="false"/>
          <w:sz w:val="18"/>
        </w:rPr>
        <w:t>EXHIBIT C TO MASTER AGREEMENT</w:t>
      </w:r>
    </w:p>
    <w:p>
      <w:pPr>
        <w:pStyle w:val="TitleCB"/>
        <w:keepNext w:val="false"/>
        <w:spacing w:lineRule="auto" w:line="240" w:before="0" w:after="0"/>
        <w:rPr>
          <w:rFonts w:ascii="Arial Narrow" w:hAnsi="Arial Narrow" w:cs="Arial Narrow"/>
          <w:caps w:val="false"/>
          <w:smallCaps w:val="false"/>
          <w:sz w:val="18"/>
        </w:rPr>
      </w:pPr>
      <w:r>
        <w:rPr>
          <w:rFonts w:cs="Arial Narrow" w:ascii="Arial Narrow" w:hAnsi="Arial Narrow"/>
          <w:caps w:val="false"/>
          <w:smallCaps w:val="false"/>
          <w:sz w:val="18"/>
        </w:rPr>
      </w:r>
    </w:p>
    <w:p>
      <w:pPr>
        <w:pStyle w:val="TitleCB"/>
        <w:keepNext w:val="false"/>
        <w:spacing w:lineRule="auto" w:line="240" w:before="0" w:after="0"/>
        <w:rPr>
          <w:rFonts w:ascii="Arial Narrow" w:hAnsi="Arial Narrow" w:cs="Arial Narrow"/>
          <w:caps w:val="false"/>
          <w:smallCaps w:val="false"/>
          <w:sz w:val="18"/>
        </w:rPr>
      </w:pPr>
      <w:r>
        <w:rPr>
          <w:rFonts w:cs="Arial Narrow" w:ascii="Arial Narrow" w:hAnsi="Arial Narrow"/>
          <w:caps w:val="false"/>
          <w:smallCaps w:val="false"/>
          <w:sz w:val="18"/>
        </w:rPr>
      </w:r>
    </w:p>
    <w:p>
      <w:pPr>
        <w:pStyle w:val="TitleCB"/>
        <w:keepNext w:val="false"/>
        <w:spacing w:lineRule="auto" w:line="240" w:before="0" w:after="0"/>
        <w:rPr>
          <w:rFonts w:ascii="Arial Narrow" w:hAnsi="Arial Narrow" w:cs="Arial Narrow"/>
          <w:caps w:val="false"/>
          <w:smallCaps w:val="false"/>
          <w:sz w:val="18"/>
        </w:rPr>
      </w:pPr>
      <w:r>
        <w:rPr>
          <w:rFonts w:cs="Arial Narrow" w:ascii="Arial Narrow" w:hAnsi="Arial Narrow"/>
          <w:caps w:val="false"/>
          <w:smallCaps w:val="false"/>
          <w:sz w:val="18"/>
        </w:rPr>
        <w:t>STATEX PETROLEUM I, L.P.</w:t>
      </w:r>
    </w:p>
    <w:p>
      <w:pPr>
        <w:pStyle w:val="Normal"/>
        <w:jc w:val="center"/>
        <w:rPr>
          <w:rFonts w:ascii="Arial Narrow" w:hAnsi="Arial Narrow" w:cs="Arial Narrow"/>
          <w:b/>
          <w:sz w:val="18"/>
        </w:rPr>
      </w:pPr>
      <w:r>
        <w:rPr>
          <w:rFonts w:cs="Arial Narrow" w:ascii="Arial Narrow" w:hAnsi="Arial Narrow"/>
          <w:b/>
          <w:sz w:val="18"/>
        </w:rPr>
        <w:t>1801 ROYAL LANE, SUITE 110</w:t>
      </w:r>
    </w:p>
    <w:p>
      <w:pPr>
        <w:pStyle w:val="Normal"/>
        <w:jc w:val="center"/>
        <w:rPr>
          <w:rFonts w:ascii="Arial Narrow" w:hAnsi="Arial Narrow" w:cs="Arial Narrow"/>
          <w:b/>
          <w:sz w:val="18"/>
        </w:rPr>
      </w:pPr>
      <w:r>
        <w:rPr>
          <w:rFonts w:cs="Arial Narrow" w:ascii="Arial Narrow" w:hAnsi="Arial Narrow"/>
          <w:b/>
          <w:sz w:val="18"/>
        </w:rPr>
        <w:t>DALLAS, TEXAS 75229</w:t>
      </w:r>
    </w:p>
    <w:p>
      <w:pPr>
        <w:pStyle w:val="Normal"/>
        <w:jc w:val="center"/>
        <w:rPr>
          <w:rFonts w:ascii="Arial Narrow" w:hAnsi="Arial Narrow" w:cs="Arial Narrow"/>
          <w:b/>
          <w:sz w:val="18"/>
        </w:rPr>
      </w:pPr>
      <w:r>
        <w:rPr>
          <w:rFonts w:cs="Arial Narrow" w:ascii="Arial Narrow" w:hAnsi="Arial Narrow"/>
          <w:b/>
          <w:sz w:val="18"/>
        </w:rPr>
        <w:t>(972) 869-2800 (Telephone)</w:t>
      </w:r>
    </w:p>
    <w:p>
      <w:pPr>
        <w:pStyle w:val="Normal"/>
        <w:jc w:val="center"/>
        <w:rPr>
          <w:rFonts w:ascii="Arial Narrow" w:hAnsi="Arial Narrow" w:cs="Arial Narrow"/>
          <w:b/>
          <w:sz w:val="18"/>
        </w:rPr>
      </w:pPr>
      <w:r>
        <w:rPr>
          <w:rFonts w:cs="Arial Narrow" w:ascii="Arial Narrow" w:hAnsi="Arial Narrow"/>
          <w:b/>
          <w:sz w:val="18"/>
        </w:rPr>
        <w:t>(972) 869-2900 (Fax)</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Footer"/>
        <w:tabs>
          <w:tab w:val="clear" w:pos="4320"/>
          <w:tab w:val="clear" w:pos="8640"/>
        </w:tabs>
        <w:rPr>
          <w:rFonts w:ascii="Arial Narrow" w:hAnsi="Arial Narrow" w:cs="Arial Narrow"/>
          <w:sz w:val="18"/>
        </w:rPr>
      </w:pPr>
      <w:r>
        <w:rPr>
          <w:rFonts w:cs="Arial Narrow" w:ascii="Arial Narrow" w:hAnsi="Arial Narrow"/>
          <w:sz w:val="18"/>
        </w:rPr>
        <w:t>___________, 2000</w:t>
      </w:r>
    </w:p>
    <w:p>
      <w:pPr>
        <w:pStyle w:val="Normal"/>
        <w:jc w:val="center"/>
        <w:rPr>
          <w:rFonts w:ascii="Arial Narrow" w:hAnsi="Arial Narrow" w:cs="Arial Narrow"/>
          <w:sz w:val="18"/>
        </w:rPr>
      </w:pPr>
      <w:r>
        <w:rPr>
          <w:rFonts w:cs="Arial Narrow" w:ascii="Arial Narrow" w:hAnsi="Arial Narrow"/>
          <w:sz w:val="18"/>
        </w:rPr>
      </w:r>
    </w:p>
    <w:p>
      <w:pPr>
        <w:pStyle w:val="Acknow"/>
        <w:tabs>
          <w:tab w:val="clear" w:pos="2880"/>
          <w:tab w:val="clear" w:pos="3600"/>
        </w:tabs>
        <w:spacing w:lineRule="auto" w:line="240"/>
        <w:rPr>
          <w:rFonts w:ascii="Arial Narrow" w:hAnsi="Arial Narrow" w:cs="Arial Narrow"/>
          <w:sz w:val="18"/>
        </w:rPr>
      </w:pPr>
      <w:r>
        <w:rPr>
          <w:rFonts w:cs="Arial Narrow" w:ascii="Arial Narrow" w:hAnsi="Arial Narrow"/>
          <w:sz w:val="18"/>
        </w:rPr>
        <w:t>Enron North America Corp.</w:t>
      </w:r>
    </w:p>
    <w:p>
      <w:pPr>
        <w:pStyle w:val="Normal"/>
        <w:jc w:val="both"/>
        <w:rPr>
          <w:rFonts w:ascii="Arial Narrow" w:hAnsi="Arial Narrow" w:cs="Arial Narrow"/>
          <w:sz w:val="18"/>
        </w:rPr>
      </w:pPr>
      <w:r>
        <w:rPr>
          <w:rFonts w:cs="Arial Narrow" w:ascii="Arial Narrow" w:hAnsi="Arial Narrow"/>
          <w:sz w:val="18"/>
        </w:rPr>
        <w:t>1400 Smith Street</w:t>
      </w:r>
    </w:p>
    <w:p>
      <w:pPr>
        <w:pStyle w:val="Normal"/>
        <w:jc w:val="both"/>
        <w:rPr>
          <w:rFonts w:ascii="Arial Narrow" w:hAnsi="Arial Narrow" w:cs="Arial Narrow"/>
          <w:sz w:val="18"/>
          <w:u w:val="single"/>
        </w:rPr>
      </w:pPr>
      <w:r>
        <w:rPr>
          <w:rFonts w:cs="Arial Narrow" w:ascii="Arial Narrow" w:hAnsi="Arial Narrow"/>
          <w:sz w:val="18"/>
        </w:rPr>
        <w:t>Houston, Texas 77002</w:t>
      </w:r>
    </w:p>
    <w:p>
      <w:pPr>
        <w:pStyle w:val="Acknow"/>
        <w:tabs>
          <w:tab w:val="clear" w:pos="2880"/>
          <w:tab w:val="clear" w:pos="3600"/>
        </w:tabs>
        <w:spacing w:lineRule="auto" w:line="240"/>
        <w:rPr>
          <w:rFonts w:ascii="Arial Narrow" w:hAnsi="Arial Narrow" w:cs="Arial Narrow"/>
          <w:sz w:val="18"/>
          <w:u w:val="single"/>
        </w:rPr>
      </w:pPr>
      <w:r>
        <w:rPr>
          <w:rFonts w:cs="Arial Narrow" w:ascii="Arial Narrow" w:hAnsi="Arial Narrow"/>
          <w:sz w:val="18"/>
          <w:u w:val="single"/>
        </w:rPr>
      </w:r>
    </w:p>
    <w:p>
      <w:pPr>
        <w:pStyle w:val="Normal"/>
        <w:rPr>
          <w:rFonts w:ascii="Arial Narrow" w:hAnsi="Arial Narrow" w:cs="Arial Narrow"/>
          <w:sz w:val="18"/>
        </w:rPr>
      </w:pPr>
      <w:r>
        <w:rPr>
          <w:rFonts w:cs="Arial Narrow" w:ascii="Arial Narrow" w:hAnsi="Arial Narrow"/>
          <w:sz w:val="18"/>
        </w:rPr>
        <w:t>Attn:  _______________________</w:t>
      </w:r>
    </w:p>
    <w:p>
      <w:pPr>
        <w:pStyle w:val="SigLetter"/>
        <w:keepLines w:val="false"/>
        <w:tabs>
          <w:tab w:val="clear" w:pos="4320"/>
          <w:tab w:val="clear" w:pos="4608"/>
        </w:tabs>
        <w:spacing w:lineRule="auto" w:line="240"/>
        <w:rPr>
          <w:rFonts w:ascii="Arial Narrow" w:hAnsi="Arial Narrow" w:cs="Arial Narrow"/>
          <w:sz w:val="18"/>
        </w:rPr>
      </w:pPr>
      <w:r>
        <w:rPr>
          <w:rFonts w:cs="Arial Narrow" w:ascii="Arial Narrow" w:hAnsi="Arial Narrow"/>
          <w:sz w:val="18"/>
        </w:rPr>
      </w:r>
    </w:p>
    <w:p>
      <w:pPr>
        <w:pStyle w:val="Normal"/>
        <w:ind w:start="4320" w:end="0"/>
        <w:jc w:val="both"/>
        <w:rPr>
          <w:rFonts w:ascii="Arial Narrow" w:hAnsi="Arial Narrow" w:cs="Arial Narrow"/>
          <w:sz w:val="18"/>
        </w:rPr>
      </w:pPr>
      <w:r>
        <w:rPr>
          <w:rFonts w:cs="Arial Narrow" w:ascii="Arial Narrow" w:hAnsi="Arial Narrow"/>
          <w:sz w:val="18"/>
        </w:rPr>
        <w:t>Re:</w:t>
        <w:tab/>
        <w:t>Assignment of Right to Receive Proceeds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Gentlemen:</w:t>
      </w:r>
    </w:p>
    <w:p>
      <w:pPr>
        <w:pStyle w:val="Normal"/>
        <w:jc w:val="both"/>
        <w:rPr>
          <w:rFonts w:ascii="Arial Narrow" w:hAnsi="Arial Narrow" w:cs="Arial Narrow"/>
          <w:sz w:val="18"/>
        </w:rPr>
      </w:pPr>
      <w:r>
        <w:rPr>
          <w:rFonts w:cs="Arial Narrow" w:ascii="Arial Narrow" w:hAnsi="Arial Narrow"/>
          <w:sz w:val="18"/>
        </w:rPr>
      </w:r>
    </w:p>
    <w:p>
      <w:pPr>
        <w:pStyle w:val="Acknow"/>
        <w:tabs>
          <w:tab w:val="clear" w:pos="2880"/>
          <w:tab w:val="clear" w:pos="3600"/>
        </w:tabs>
        <w:spacing w:lineRule="auto" w:line="240"/>
        <w:rPr>
          <w:rFonts w:ascii="Arial Narrow" w:hAnsi="Arial Narrow" w:cs="Arial Narrow"/>
          <w:sz w:val="18"/>
        </w:rPr>
      </w:pPr>
      <w:r>
        <w:rPr>
          <w:rFonts w:cs="Arial Narrow" w:ascii="Arial Narrow" w:hAnsi="Arial Narrow"/>
          <w:sz w:val="18"/>
        </w:rPr>
        <w:t>On _____________, Statex Petroleum I, L.P., ("Statex") entered into (i) a loan transaction with International Bank of Commerce ("IBC") covering various oil and gas properties owned by Statex and (ii) a Master Agreement (“Master Agreement”) with Enron North America Corp. (“ENA”).  [Subsequently, Statex executed an Assignment and Assumption Agreement (the "Assignment"), whereby all of the interest of Statex was assigned to IBC.  Therefore,] [Pursuant to said Master Agreement,] Statex requests that you accept this Assignment of Right to Receive Proceeds and change your records for payments from the Master Agreement as follows:</w:t>
      </w:r>
    </w:p>
    <w:p>
      <w:pPr>
        <w:pStyle w:val="Normal"/>
        <w:jc w:val="both"/>
        <w:rPr>
          <w:rFonts w:ascii="Arial Narrow" w:hAnsi="Arial Narrow" w:cs="Arial Narrow"/>
          <w:sz w:val="18"/>
        </w:rPr>
      </w:pPr>
      <w:r>
        <w:rPr>
          <w:rFonts w:cs="Arial Narrow" w:ascii="Arial Narrow" w:hAnsi="Arial Narrow"/>
          <w:sz w:val="18"/>
        </w:rPr>
      </w:r>
    </w:p>
    <w:p>
      <w:pPr>
        <w:pStyle w:val="Acknow"/>
        <w:tabs>
          <w:tab w:val="clear" w:pos="2880"/>
          <w:tab w:val="clear" w:pos="3600"/>
          <w:tab w:val="left" w:pos="720" w:leader="none"/>
          <w:tab w:val="left" w:pos="4680" w:leader="none"/>
        </w:tabs>
        <w:spacing w:lineRule="auto" w:line="240"/>
        <w:rPr>
          <w:rFonts w:ascii="Arial Narrow" w:hAnsi="Arial Narrow" w:cs="Arial Narrow"/>
          <w:sz w:val="18"/>
        </w:rPr>
      </w:pPr>
      <w:r>
        <w:rPr>
          <w:rFonts w:cs="Arial Narrow" w:ascii="Arial Narrow" w:hAnsi="Arial Narrow"/>
          <w:sz w:val="18"/>
        </w:rPr>
        <w:tab/>
        <w:t>Revenue Payments</w:t>
        <w:tab/>
      </w:r>
      <w:r>
        <w:rPr>
          <w:rFonts w:cs="Arial Narrow" w:ascii="Arial Narrow" w:hAnsi="Arial Narrow"/>
          <w:b/>
          <w:sz w:val="18"/>
        </w:rPr>
        <w:t>Statex Petroleum I, L.P.</w:t>
      </w:r>
    </w:p>
    <w:p>
      <w:pPr>
        <w:pStyle w:val="Normal"/>
        <w:tabs>
          <w:tab w:val="left" w:pos="720" w:leader="none"/>
          <w:tab w:val="left" w:pos="4680" w:leader="none"/>
        </w:tabs>
        <w:jc w:val="both"/>
        <w:rPr>
          <w:rFonts w:ascii="Arial Narrow" w:hAnsi="Arial Narrow" w:cs="Arial Narrow"/>
          <w:sz w:val="18"/>
        </w:rPr>
      </w:pPr>
      <w:r>
        <w:rPr>
          <w:rFonts w:cs="Arial Narrow" w:ascii="Arial Narrow" w:hAnsi="Arial Narrow"/>
          <w:sz w:val="18"/>
        </w:rPr>
        <w:tab/>
        <w:tab/>
        <w:t>c/o International Bank of Commerce</w:t>
      </w:r>
    </w:p>
    <w:p>
      <w:pPr>
        <w:pStyle w:val="Normal"/>
        <w:tabs>
          <w:tab w:val="left" w:pos="720" w:leader="none"/>
          <w:tab w:val="left" w:pos="4680" w:leader="none"/>
        </w:tabs>
        <w:jc w:val="both"/>
        <w:rPr>
          <w:rFonts w:ascii="Arial Narrow" w:hAnsi="Arial Narrow" w:cs="Arial Narrow"/>
          <w:sz w:val="18"/>
        </w:rPr>
      </w:pPr>
      <w:r>
        <w:rPr>
          <w:rFonts w:cs="Arial Narrow" w:ascii="Arial Narrow" w:hAnsi="Arial Narrow"/>
          <w:sz w:val="18"/>
        </w:rPr>
        <w:tab/>
        <w:tab/>
        <w:t>130 East Travis</w:t>
      </w:r>
    </w:p>
    <w:p>
      <w:pPr>
        <w:pStyle w:val="Normal"/>
        <w:tabs>
          <w:tab w:val="left" w:pos="720" w:leader="none"/>
          <w:tab w:val="left" w:pos="4680" w:leader="none"/>
        </w:tabs>
        <w:jc w:val="both"/>
        <w:rPr>
          <w:rFonts w:ascii="Arial Narrow" w:hAnsi="Arial Narrow" w:cs="Arial Narrow"/>
          <w:sz w:val="18"/>
        </w:rPr>
      </w:pPr>
      <w:r>
        <w:rPr>
          <w:rFonts w:cs="Arial Narrow" w:ascii="Arial Narrow" w:hAnsi="Arial Narrow"/>
          <w:sz w:val="18"/>
        </w:rPr>
        <w:tab/>
        <w:tab/>
        <w:t>San Antonio, Texas  78205</w:t>
      </w:r>
    </w:p>
    <w:p>
      <w:pPr>
        <w:pStyle w:val="Normal"/>
        <w:tabs>
          <w:tab w:val="left" w:pos="720" w:leader="none"/>
          <w:tab w:val="left" w:pos="4680" w:leader="none"/>
        </w:tabs>
        <w:jc w:val="both"/>
        <w:rPr>
          <w:rFonts w:ascii="Arial Narrow" w:hAnsi="Arial Narrow" w:cs="Arial Narrow"/>
          <w:sz w:val="18"/>
        </w:rPr>
      </w:pPr>
      <w:r>
        <w:rPr>
          <w:rFonts w:cs="Arial Narrow" w:ascii="Arial Narrow" w:hAnsi="Arial Narrow"/>
          <w:sz w:val="18"/>
        </w:rPr>
        <w:tab/>
        <w:tab/>
        <w:t>Attn:  Mr. Mike Sohn</w:t>
      </w:r>
    </w:p>
    <w:p>
      <w:pPr>
        <w:pStyle w:val="Normal"/>
        <w:tabs>
          <w:tab w:val="left" w:pos="720" w:leader="none"/>
          <w:tab w:val="left" w:pos="4680" w:leader="none"/>
        </w:tabs>
        <w:jc w:val="both"/>
        <w:rPr>
          <w:rFonts w:ascii="Arial Narrow" w:hAnsi="Arial Narrow" w:cs="Arial Narrow"/>
          <w:sz w:val="18"/>
        </w:rPr>
      </w:pPr>
      <w:r>
        <w:rPr>
          <w:rFonts w:cs="Arial Narrow" w:ascii="Arial Narrow" w:hAnsi="Arial Narrow"/>
          <w:sz w:val="18"/>
        </w:rPr>
        <w:tab/>
        <w:tab/>
        <w:t>Tax I.D. # _______________</w:t>
      </w:r>
    </w:p>
    <w:p>
      <w:pPr>
        <w:pStyle w:val="Normal"/>
        <w:tabs>
          <w:tab w:val="left" w:pos="720" w:leader="none"/>
          <w:tab w:val="left" w:pos="4680" w:leader="none"/>
        </w:tabs>
        <w:jc w:val="both"/>
        <w:rPr>
          <w:rFonts w:ascii="Arial Narrow" w:hAnsi="Arial Narrow" w:cs="Arial Narrow"/>
          <w:sz w:val="18"/>
        </w:rPr>
      </w:pPr>
      <w:r>
        <w:rPr>
          <w:rFonts w:cs="Arial Narrow" w:ascii="Arial Narrow" w:hAnsi="Arial Narrow"/>
          <w:sz w:val="18"/>
        </w:rPr>
        <w:tab/>
        <w:tab/>
        <w:t>Lock Box # ______________</w:t>
      </w:r>
    </w:p>
    <w:p>
      <w:pPr>
        <w:pStyle w:val="Normal"/>
        <w:tabs>
          <w:tab w:val="left" w:pos="720" w:leader="none"/>
          <w:tab w:val="left" w:pos="504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 w:val="left" w:pos="5040" w:leader="none"/>
        </w:tabs>
        <w:jc w:val="both"/>
        <w:rPr>
          <w:rFonts w:ascii="Arial Narrow" w:hAnsi="Arial Narrow" w:cs="Arial Narrow"/>
          <w:sz w:val="18"/>
        </w:rPr>
      </w:pPr>
      <w:r>
        <w:rPr>
          <w:rFonts w:cs="Arial Narrow" w:ascii="Arial Narrow" w:hAnsi="Arial Narrow"/>
          <w:sz w:val="18"/>
        </w:rPr>
        <w:t>In consideration for your acceptance of this Assignment of Right to Receive Proceeds, Statex agrees to indemnify, save and hold you harmless from and against any and all claims, demands, judgments, damages, liabilities, losses, costs, charges, recoveries and other expenses of every nature and character that you sustain by reason of your making future payments as requested and authorized pursuant to this letter.  This arrangement shall remain in effect until you are notified in writing by Statex and IBC that this arrangement has been terminated.</w:t>
      </w:r>
    </w:p>
    <w:p>
      <w:pPr>
        <w:pStyle w:val="Normal"/>
        <w:tabs>
          <w:tab w:val="left" w:pos="720" w:leader="none"/>
          <w:tab w:val="left" w:pos="504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 w:val="left" w:pos="5040" w:leader="none"/>
        </w:tabs>
        <w:jc w:val="both"/>
        <w:rPr>
          <w:rFonts w:ascii="Arial Narrow" w:hAnsi="Arial Narrow" w:cs="Arial Narrow"/>
          <w:sz w:val="18"/>
        </w:rPr>
      </w:pPr>
      <w:r>
        <w:rPr>
          <w:rFonts w:cs="Arial Narrow" w:ascii="Arial Narrow" w:hAnsi="Arial Narrow"/>
          <w:sz w:val="18"/>
        </w:rPr>
        <w:t>If you should have any questions or need any additional information, please immediately contact Dhar Carman at (972) 869-2800.  Please acknowledge your receipt and acceptance of this Assignment of Right to Receive Proceeds by signing and returning one copy of this letter in the envelope provided for completion of our files.  Thank you for your cooperation.</w:t>
      </w:r>
    </w:p>
    <w:p>
      <w:pPr>
        <w:pStyle w:val="Normal"/>
        <w:tabs>
          <w:tab w:val="left" w:pos="720" w:leader="none"/>
          <w:tab w:val="left" w:pos="5040" w:leader="none"/>
        </w:tabs>
        <w:jc w:val="both"/>
        <w:rPr>
          <w:rFonts w:ascii="Arial Narrow" w:hAnsi="Arial Narrow" w:cs="Arial Narrow"/>
          <w:sz w:val="18"/>
        </w:rPr>
      </w:pPr>
      <w:r>
        <w:rPr>
          <w:rFonts w:cs="Arial Narrow" w:ascii="Arial Narrow" w:hAnsi="Arial Narrow"/>
          <w:sz w:val="18"/>
        </w:rPr>
      </w:r>
    </w:p>
    <w:p>
      <w:pPr>
        <w:pStyle w:val="Acknow"/>
        <w:tabs>
          <w:tab w:val="clear" w:pos="2880"/>
          <w:tab w:val="clear" w:pos="3600"/>
          <w:tab w:val="left" w:pos="720" w:leader="none"/>
          <w:tab w:val="left" w:pos="4320" w:leader="none"/>
          <w:tab w:val="left" w:pos="5040" w:leader="none"/>
        </w:tabs>
        <w:spacing w:lineRule="auto" w:line="240"/>
        <w:rPr>
          <w:rFonts w:ascii="Arial Narrow" w:hAnsi="Arial Narrow" w:cs="Arial Narrow"/>
          <w:sz w:val="18"/>
        </w:rPr>
      </w:pPr>
      <w:r>
        <w:rPr>
          <w:rFonts w:cs="Arial Narrow" w:ascii="Arial Narrow" w:hAnsi="Arial Narrow"/>
          <w:sz w:val="18"/>
        </w:rPr>
        <w:tab/>
        <w:tab/>
        <w:t>Sincerely,</w:t>
      </w:r>
    </w:p>
    <w:p>
      <w:pPr>
        <w:pStyle w:val="Normal"/>
        <w:tabs>
          <w:tab w:val="left" w:pos="720" w:leader="none"/>
          <w:tab w:val="left" w:pos="4320" w:leader="none"/>
          <w:tab w:val="left" w:pos="504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 w:val="left" w:pos="4320" w:leader="none"/>
          <w:tab w:val="left" w:pos="5040" w:leader="none"/>
        </w:tabs>
        <w:jc w:val="both"/>
        <w:rPr/>
      </w:pPr>
      <w:r>
        <w:rPr>
          <w:rFonts w:cs="Arial Narrow" w:ascii="Arial Narrow" w:hAnsi="Arial Narrow"/>
          <w:sz w:val="18"/>
        </w:rPr>
        <w:tab/>
        <w:tab/>
      </w:r>
      <w:r>
        <w:rPr>
          <w:rFonts w:cs="Arial Narrow" w:ascii="Arial Narrow" w:hAnsi="Arial Narrow"/>
          <w:b/>
          <w:sz w:val="18"/>
        </w:rPr>
        <w:t>Statex Petroleum I, L.P.</w:t>
      </w:r>
    </w:p>
    <w:p>
      <w:pPr>
        <w:pStyle w:val="Normal"/>
        <w:tabs>
          <w:tab w:val="left" w:pos="720" w:leader="none"/>
          <w:tab w:val="left" w:pos="4320" w:leader="none"/>
          <w:tab w:val="left" w:pos="5040" w:leader="none"/>
        </w:tabs>
        <w:jc w:val="both"/>
        <w:rPr>
          <w:rFonts w:ascii="Arial Narrow" w:hAnsi="Arial Narrow" w:cs="Arial Narrow"/>
          <w:b/>
          <w:sz w:val="18"/>
        </w:rPr>
      </w:pPr>
      <w:r>
        <w:rPr>
          <w:rFonts w:cs="Arial Narrow" w:ascii="Arial Narrow" w:hAnsi="Arial Narrow"/>
          <w:b/>
          <w:sz w:val="18"/>
        </w:rPr>
      </w:r>
    </w:p>
    <w:p>
      <w:pPr>
        <w:pStyle w:val="Normal"/>
        <w:tabs>
          <w:tab w:val="left" w:pos="720" w:leader="none"/>
          <w:tab w:val="left" w:pos="4320" w:leader="none"/>
          <w:tab w:val="left" w:pos="5040" w:leader="none"/>
        </w:tabs>
        <w:jc w:val="both"/>
        <w:rPr>
          <w:rFonts w:ascii="Arial Narrow" w:hAnsi="Arial Narrow" w:cs="Arial Narrow"/>
          <w:sz w:val="18"/>
        </w:rPr>
      </w:pPr>
      <w:r>
        <w:rPr>
          <w:rFonts w:cs="Arial Narrow" w:ascii="Arial Narrow" w:hAnsi="Arial Narrow"/>
          <w:sz w:val="18"/>
        </w:rPr>
        <w:tab/>
        <w:tab/>
        <w:t>By:  Statex Operating, LLC,</w:t>
      </w:r>
    </w:p>
    <w:p>
      <w:pPr>
        <w:pStyle w:val="Normal"/>
        <w:tabs>
          <w:tab w:val="left" w:pos="720" w:leader="none"/>
          <w:tab w:val="left" w:pos="4320" w:leader="none"/>
          <w:tab w:val="left" w:pos="5040" w:leader="none"/>
        </w:tabs>
        <w:jc w:val="both"/>
        <w:rPr>
          <w:rFonts w:ascii="Arial Narrow" w:hAnsi="Arial Narrow" w:cs="Arial Narrow"/>
          <w:sz w:val="18"/>
        </w:rPr>
      </w:pPr>
      <w:r>
        <w:rPr>
          <w:rFonts w:cs="Arial Narrow" w:ascii="Arial Narrow" w:hAnsi="Arial Narrow"/>
          <w:sz w:val="18"/>
        </w:rPr>
        <w:tab/>
        <w:tab/>
        <w:tab/>
        <w:t>as General Partner</w:t>
      </w:r>
    </w:p>
    <w:p>
      <w:pPr>
        <w:pStyle w:val="Normal"/>
        <w:tabs>
          <w:tab w:val="left" w:pos="720" w:leader="none"/>
          <w:tab w:val="left" w:pos="4320" w:leader="none"/>
          <w:tab w:val="left" w:pos="504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 w:val="left" w:pos="4320" w:leader="none"/>
          <w:tab w:val="left" w:pos="5040" w:leader="none"/>
        </w:tabs>
        <w:jc w:val="both"/>
        <w:rPr>
          <w:rFonts w:ascii="Arial Narrow" w:hAnsi="Arial Narrow" w:cs="Arial Narrow"/>
          <w:sz w:val="18"/>
        </w:rPr>
      </w:pPr>
      <w:r>
        <w:rPr>
          <w:rFonts w:cs="Arial Narrow" w:ascii="Arial Narrow" w:hAnsi="Arial Narrow"/>
          <w:sz w:val="18"/>
        </w:rPr>
        <w:tab/>
        <w:tab/>
        <w:tab/>
      </w:r>
      <w:r>
        <w:rPr>
          <w:rFonts w:cs="Arial Narrow" w:ascii="Arial Narrow" w:hAnsi="Arial Narrow"/>
          <w:sz w:val="18"/>
          <w:u w:val="single"/>
        </w:rPr>
        <w:tab/>
        <w:tab/>
        <w:tab/>
        <w:tab/>
        <w:tab/>
        <w:tab/>
      </w:r>
    </w:p>
    <w:p>
      <w:pPr>
        <w:pStyle w:val="Normal"/>
        <w:tabs>
          <w:tab w:val="left" w:pos="720" w:leader="none"/>
          <w:tab w:val="left" w:pos="4320" w:leader="none"/>
          <w:tab w:val="left" w:pos="5040" w:leader="none"/>
        </w:tabs>
        <w:jc w:val="both"/>
        <w:rPr>
          <w:rFonts w:ascii="Arial Narrow" w:hAnsi="Arial Narrow" w:cs="Arial Narrow"/>
          <w:sz w:val="18"/>
        </w:rPr>
      </w:pPr>
      <w:r>
        <w:rPr>
          <w:rFonts w:cs="Arial Narrow" w:ascii="Arial Narrow" w:hAnsi="Arial Narrow"/>
          <w:sz w:val="18"/>
        </w:rPr>
        <w:tab/>
        <w:tab/>
        <w:tab/>
        <w:t xml:space="preserve">By:  </w:t>
      </w:r>
      <w:r>
        <w:rPr>
          <w:rFonts w:cs="Arial Narrow" w:ascii="Arial Narrow" w:hAnsi="Arial Narrow"/>
          <w:sz w:val="18"/>
          <w:u w:val="single"/>
        </w:rPr>
        <w:tab/>
        <w:tab/>
        <w:tab/>
        <w:tab/>
        <w:tab/>
        <w:tab/>
      </w:r>
    </w:p>
    <w:p>
      <w:pPr>
        <w:pStyle w:val="Normal"/>
        <w:tabs>
          <w:tab w:val="left" w:pos="720" w:leader="none"/>
          <w:tab w:val="left" w:pos="4320" w:leader="none"/>
          <w:tab w:val="left" w:pos="5040" w:leader="none"/>
        </w:tabs>
        <w:jc w:val="both"/>
        <w:rPr>
          <w:rFonts w:ascii="Arial Narrow" w:hAnsi="Arial Narrow" w:cs="Arial Narrow"/>
          <w:sz w:val="18"/>
        </w:rPr>
      </w:pPr>
      <w:r>
        <w:rPr>
          <w:rFonts w:cs="Arial Narrow" w:ascii="Arial Narrow" w:hAnsi="Arial Narrow"/>
          <w:sz w:val="18"/>
        </w:rPr>
        <w:tab/>
        <w:tab/>
        <w:tab/>
        <w:t>Title:  Manager</w:t>
      </w:r>
    </w:p>
    <w:p>
      <w:pPr>
        <w:pStyle w:val="Normal"/>
        <w:tabs>
          <w:tab w:val="left" w:pos="720" w:leader="none"/>
          <w:tab w:val="left" w:pos="4320" w:leader="none"/>
          <w:tab w:val="left" w:pos="504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s>
        <w:jc w:val="both"/>
        <w:rPr>
          <w:rFonts w:ascii="Arial Narrow" w:hAnsi="Arial Narrow" w:cs="Arial Narrow"/>
          <w:sz w:val="18"/>
        </w:rPr>
      </w:pPr>
      <w:r>
        <w:rPr>
          <w:rFonts w:cs="Arial Narrow" w:ascii="Arial Narrow" w:hAnsi="Arial Narrow"/>
          <w:sz w:val="18"/>
        </w:rPr>
      </w:r>
      <w:r>
        <w:br w:type="page"/>
      </w:r>
    </w:p>
    <w:p>
      <w:pPr>
        <w:pStyle w:val="Normal"/>
        <w:tabs>
          <w:tab w:val="clear" w:pos="720"/>
          <w:tab w:val="left" w:pos="4320" w:leader="none"/>
        </w:tabs>
        <w:jc w:val="both"/>
        <w:rPr>
          <w:rFonts w:ascii="Arial Narrow" w:hAnsi="Arial Narrow" w:cs="Arial Narrow"/>
          <w:sz w:val="18"/>
        </w:rPr>
      </w:pPr>
      <w:r>
        <w:rPr>
          <w:rFonts w:cs="Arial Narrow" w:ascii="Arial Narrow" w:hAnsi="Arial Narrow"/>
          <w:sz w:val="18"/>
        </w:rPr>
        <w:t>The company to which this letter is addressed has made the requested changes in its records:</w:t>
      </w:r>
    </w:p>
    <w:p>
      <w:pPr>
        <w:pStyle w:val="Normal"/>
        <w:tabs>
          <w:tab w:val="clear" w:pos="720"/>
          <w:tab w:val="left" w:pos="432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(Effective:</w:t>
      </w:r>
      <w:r>
        <w:rPr>
          <w:rFonts w:cs="Arial Narrow" w:ascii="Arial Narrow" w:hAnsi="Arial Narrow"/>
          <w:sz w:val="18"/>
          <w:u w:val="single"/>
        </w:rPr>
        <w:tab/>
        <w:tab/>
        <w:tab/>
        <w:tab/>
        <w:tab/>
        <w:tab/>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ab/>
        <w:t>Date:</w:t>
      </w:r>
      <w:r>
        <w:rPr>
          <w:rFonts w:cs="Arial Narrow" w:ascii="Arial Narrow" w:hAnsi="Arial Narrow"/>
          <w:sz w:val="18"/>
          <w:u w:val="single"/>
        </w:rPr>
        <w:tab/>
        <w:tab/>
        <w:tab/>
        <w:tab/>
        <w:tab/>
      </w:r>
    </w:p>
    <w:p>
      <w:pPr>
        <w:pStyle w:val="Normal"/>
        <w:jc w:val="both"/>
        <w:rPr/>
      </w:pPr>
      <w:r>
        <w:rPr>
          <w:rFonts w:cs="Arial Narrow" w:ascii="Arial Narrow" w:hAnsi="Arial Narrow"/>
          <w:sz w:val="18"/>
        </w:rPr>
        <w:t>Printed Name:</w:t>
      </w:r>
      <w:r>
        <w:rPr>
          <w:rFonts w:cs="Arial Narrow" w:ascii="Arial Narrow" w:hAnsi="Arial Narrow"/>
          <w:sz w:val="18"/>
          <w:u w:val="single"/>
        </w:rPr>
        <w:tab/>
        <w:tab/>
        <w:tab/>
        <w:tab/>
      </w:r>
      <w:r>
        <w:rPr>
          <w:rFonts w:cs="Arial Narrow" w:ascii="Arial Narrow" w:hAnsi="Arial Narrow"/>
          <w:sz w:val="18"/>
        </w:rPr>
        <w:tab/>
        <w:tab/>
        <w:tab/>
        <w:t>Phone:</w:t>
      </w:r>
      <w:r>
        <w:rPr>
          <w:rFonts w:cs="Arial Narrow" w:ascii="Arial Narrow" w:hAnsi="Arial Narrow"/>
          <w:sz w:val="18"/>
          <w:u w:val="single"/>
        </w:rPr>
        <w:tab/>
        <w:tab/>
        <w:tab/>
        <w:tab/>
        <w:tab/>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rFonts w:ascii="Arial Narrow" w:hAnsi="Arial Narrow" w:cs="Arial Narrow"/>
          <w:sz w:val="18"/>
          <w:u w:val="single"/>
        </w:rPr>
      </w:pPr>
      <w:r>
        <w:rPr>
          <w:rFonts w:cs="Arial Narrow" w:ascii="Arial Narrow" w:hAnsi="Arial Narrow"/>
          <w:sz w:val="18"/>
          <w:u w:val="single"/>
        </w:rPr>
      </w:r>
    </w:p>
    <w:p>
      <w:pPr>
        <w:pStyle w:val="Acknow"/>
        <w:tabs>
          <w:tab w:val="clear" w:pos="2880"/>
          <w:tab w:val="clear" w:pos="3600"/>
        </w:tabs>
        <w:spacing w:lineRule="auto" w:line="240"/>
        <w:rPr>
          <w:rFonts w:ascii="Arial Narrow" w:hAnsi="Arial Narrow" w:cs="Arial Narrow"/>
          <w:sz w:val="18"/>
        </w:rPr>
      </w:pPr>
      <w:r>
        <w:rPr>
          <w:rFonts w:cs="Arial Narrow" w:ascii="Arial Narrow" w:hAnsi="Arial Narrow"/>
          <w:sz w:val="18"/>
        </w:rPr>
        <w:t>cc:</w:t>
        <w:tab/>
        <w:t>International Bank of Commerce</w:t>
      </w:r>
    </w:p>
    <w:p>
      <w:pPr>
        <w:pStyle w:val="SigLetter"/>
        <w:keepLines w:val="false"/>
        <w:tabs>
          <w:tab w:val="clear" w:pos="4320"/>
          <w:tab w:val="clear" w:pos="4608"/>
        </w:tabs>
        <w:spacing w:lineRule="auto" w:line="240"/>
        <w:rPr>
          <w:rFonts w:ascii="Arial Narrow" w:hAnsi="Arial Narrow" w:cs="Arial Narrow"/>
          <w:sz w:val="18"/>
        </w:rPr>
      </w:pPr>
      <w:r>
        <w:rPr>
          <w:rFonts w:cs="Arial Narrow" w:ascii="Arial Narrow" w:hAnsi="Arial Narrow"/>
          <w:sz w:val="18"/>
        </w:rPr>
        <w:tab/>
        <w:t>130 E. Travis</w:t>
      </w:r>
    </w:p>
    <w:p>
      <w:pPr>
        <w:pStyle w:val="Normal"/>
        <w:rPr>
          <w:rFonts w:ascii="Arial Narrow" w:hAnsi="Arial Narrow" w:cs="Arial Narrow"/>
          <w:sz w:val="18"/>
        </w:rPr>
      </w:pPr>
      <w:r>
        <w:rPr>
          <w:rFonts w:cs="Arial Narrow" w:ascii="Arial Narrow" w:hAnsi="Arial Narrow"/>
          <w:sz w:val="18"/>
        </w:rPr>
        <w:tab/>
        <w:t>San Antonio, Texas 78205</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itlePg/>
          <w:textDirection w:val="lrTb"/>
          <w:docGrid w:type="default" w:linePitch="360" w:charSpace="0"/>
        </w:sectPr>
        <w:pStyle w:val="Acknow"/>
        <w:tabs>
          <w:tab w:val="clear" w:pos="2880"/>
          <w:tab w:val="clear" w:pos="3600"/>
        </w:tabs>
        <w:spacing w:lineRule="auto" w:line="240"/>
        <w:rPr>
          <w:rFonts w:ascii="Arial Narrow" w:hAnsi="Arial Narrow" w:cs="Arial Narrow"/>
          <w:sz w:val="18"/>
        </w:rPr>
      </w:pPr>
      <w:r>
        <w:rPr>
          <w:rFonts w:cs="Arial Narrow" w:ascii="Arial Narrow" w:hAnsi="Arial Narrow"/>
          <w:sz w:val="18"/>
        </w:rPr>
        <w:tab/>
        <w:t>Attn: Michael K. Sohn</w:t>
      </w:r>
    </w:p>
    <w:p>
      <w:pPr>
        <w:pStyle w:val="Normal"/>
        <w:ind w:end="180"/>
        <w:jc w:val="center"/>
        <w:rPr>
          <w:rFonts w:ascii="Arial Narrow" w:hAnsi="Arial Narrow" w:cs="Arial Narrow"/>
          <w:b/>
          <w:sz w:val="18"/>
        </w:rPr>
      </w:pPr>
      <w:r>
        <w:rPr>
          <w:rFonts w:cs="Arial Narrow" w:ascii="Arial Narrow" w:hAnsi="Arial Narrow"/>
          <w:b/>
          <w:sz w:val="18"/>
          <w:u w:val="single"/>
        </w:rPr>
        <w:t>EXHIBIT D</w:t>
      </w:r>
    </w:p>
    <w:p>
      <w:pPr>
        <w:pStyle w:val="Normal"/>
        <w:ind w:end="180"/>
        <w:jc w:val="center"/>
        <w:rPr>
          <w:rFonts w:ascii="Arial Narrow" w:hAnsi="Arial Narrow" w:cs="Arial Narrow"/>
          <w:b/>
          <w:sz w:val="18"/>
        </w:rPr>
      </w:pPr>
      <w:r>
        <w:rPr>
          <w:rFonts w:cs="Arial Narrow" w:ascii="Arial Narrow" w:hAnsi="Arial Narrow"/>
          <w:b/>
          <w:sz w:val="18"/>
        </w:rPr>
      </w:r>
    </w:p>
    <w:p>
      <w:pPr>
        <w:pStyle w:val="Normal"/>
        <w:ind w:end="180"/>
        <w:jc w:val="center"/>
        <w:rPr>
          <w:rFonts w:ascii="Arial Narrow" w:hAnsi="Arial Narrow" w:cs="Arial Narrow"/>
          <w:b/>
          <w:sz w:val="18"/>
        </w:rPr>
      </w:pPr>
      <w:r>
        <w:rPr>
          <w:rFonts w:cs="Arial Narrow" w:ascii="Arial Narrow" w:hAnsi="Arial Narrow"/>
          <w:b/>
          <w:sz w:val="18"/>
        </w:rPr>
        <w:t>ENRON CORP.</w:t>
      </w:r>
    </w:p>
    <w:p>
      <w:pPr>
        <w:pStyle w:val="Normal"/>
        <w:spacing w:lineRule="exact" w:line="240"/>
        <w:ind w:end="180"/>
        <w:jc w:val="center"/>
        <w:rPr>
          <w:rFonts w:ascii="Arial Narrow" w:hAnsi="Arial Narrow" w:cs="Arial Narrow"/>
          <w:b/>
          <w:sz w:val="18"/>
          <w:u w:val="single"/>
        </w:rPr>
      </w:pPr>
      <w:r>
        <w:rPr>
          <w:rFonts w:cs="Arial Narrow" w:ascii="Arial Narrow" w:hAnsi="Arial Narrow"/>
          <w:b/>
          <w:sz w:val="18"/>
          <w:u w:val="single"/>
        </w:rPr>
      </w:r>
    </w:p>
    <w:p>
      <w:pPr>
        <w:pStyle w:val="Normal"/>
        <w:spacing w:lineRule="exact" w:line="240"/>
        <w:ind w:end="180"/>
        <w:jc w:val="center"/>
        <w:rPr>
          <w:rFonts w:ascii="Arial Narrow" w:hAnsi="Arial Narrow" w:cs="Arial Narrow"/>
          <w:sz w:val="18"/>
        </w:rPr>
      </w:pPr>
      <w:r>
        <w:rPr>
          <w:rFonts w:cs="Arial Narrow" w:ascii="Arial Narrow" w:hAnsi="Arial Narrow"/>
          <w:sz w:val="18"/>
          <w:u w:val="single"/>
        </w:rPr>
        <w:t>Guaranty</w:t>
      </w:r>
    </w:p>
    <w:p>
      <w:pPr>
        <w:pStyle w:val="Normal"/>
        <w:spacing w:lineRule="exact" w:line="48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This Guaranty (the “Guaranty”), dated as of </w:t>
      </w:r>
      <w:r>
        <w:rPr>
          <w:rFonts w:cs="Arial Narrow" w:ascii="Arial Narrow" w:hAnsi="Arial Narrow"/>
          <w:sz w:val="18"/>
          <w:u w:val="single"/>
        </w:rPr>
        <w:tab/>
        <w:tab/>
      </w:r>
      <w:r>
        <w:rPr>
          <w:rFonts w:cs="Arial Narrow" w:ascii="Arial Narrow" w:hAnsi="Arial Narrow"/>
          <w:sz w:val="18"/>
        </w:rPr>
        <w:t xml:space="preserve">, 2000, is made and entered into by </w:t>
      </w:r>
      <w:r>
        <w:rPr>
          <w:rFonts w:cs="Arial Narrow" w:ascii="Arial Narrow" w:hAnsi="Arial Narrow"/>
          <w:caps/>
          <w:sz w:val="18"/>
        </w:rPr>
        <w:t>Enron Corp.</w:t>
      </w:r>
      <w:r>
        <w:rPr>
          <w:rFonts w:cs="Arial Narrow" w:ascii="Arial Narrow" w:hAnsi="Arial Narrow"/>
          <w:sz w:val="18"/>
        </w:rPr>
        <w:t>, an Oregon corporation (“Guarantor”).</w:t>
      </w:r>
    </w:p>
    <w:p>
      <w:pPr>
        <w:pStyle w:val="Normal"/>
        <w:keepNext w:val="true"/>
        <w:spacing w:lineRule="exact" w:line="240" w:before="480" w:after="0"/>
        <w:jc w:val="center"/>
        <w:rPr>
          <w:rFonts w:ascii="Arial Narrow" w:hAnsi="Arial Narrow" w:cs="Arial Narrow"/>
          <w:b/>
          <w:caps/>
          <w:sz w:val="18"/>
        </w:rPr>
      </w:pPr>
      <w:r>
        <w:rPr>
          <w:rFonts w:cs="Arial Narrow" w:ascii="Arial Narrow" w:hAnsi="Arial Narrow"/>
          <w:b/>
          <w:caps/>
          <w:sz w:val="18"/>
        </w:rPr>
        <w:t>W I T N E S S E T H:</w:t>
      </w:r>
    </w:p>
    <w:p>
      <w:pPr>
        <w:pStyle w:val="Normal"/>
        <w:spacing w:lineRule="atLeast" w:line="240"/>
        <w:jc w:val="both"/>
        <w:rPr>
          <w:rFonts w:ascii="Arial Narrow" w:hAnsi="Arial Narrow" w:cs="Arial Narrow"/>
          <w:b/>
          <w:caps/>
          <w:sz w:val="18"/>
        </w:rPr>
      </w:pPr>
      <w:r>
        <w:rPr>
          <w:rFonts w:cs="Arial Narrow" w:ascii="Arial Narrow" w:hAnsi="Arial Narrow"/>
          <w:b/>
          <w:caps/>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 xml:space="preserve">WHEREAS, STATEX PETROLEUM I, L.P., a Texas limited partnership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WHEREAS, Guarantor will directly or indirectly benefit from the transactions to be entered into between Enron and Counterparty;</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NOW THEREFORE, in consideration of Counterparty entering into the Contract, Guarantor hereby covenants and agrees as follows:</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1.  </w:t>
      </w:r>
      <w:r>
        <w:rPr>
          <w:rFonts w:cs="Arial Narrow" w:ascii="Arial Narrow" w:hAnsi="Arial Narrow"/>
          <w:sz w:val="18"/>
          <w:u w:val="single"/>
        </w:rPr>
        <w:t>GUARANTY</w:t>
      </w:r>
      <w:r>
        <w:rPr>
          <w:rFonts w:cs="Arial Narrow" w:ascii="Arial Narrow" w:hAnsi="Arial Narrow"/>
          <w:sz w:val="18"/>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rPr/>
      </w:pPr>
      <w:r>
        <w:rPr/>
        <w:t>(b)  The aggregate amount covered by this Guaranty shall not exceed U.S. $10,000,000.</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2.  </w:t>
      </w:r>
      <w:r>
        <w:rPr>
          <w:rFonts w:cs="Arial Narrow" w:ascii="Arial Narrow" w:hAnsi="Arial Narrow"/>
          <w:sz w:val="18"/>
          <w:u w:val="single"/>
        </w:rPr>
        <w:t>DEMANDS AND NOTICE</w:t>
      </w:r>
      <w:r>
        <w:rPr>
          <w:rFonts w:cs="Arial Narrow" w:ascii="Arial Narrow" w:hAnsi="Arial Narrow"/>
          <w:sz w:val="18"/>
        </w:rPr>
        <w:t>.  Upon the occurrence and during the continuance of an Event of Default,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keepNext w:val="true"/>
        <w:spacing w:lineRule="atLeast" w:line="240"/>
        <w:ind w:firstLine="720" w:end="0"/>
        <w:jc w:val="both"/>
        <w:rPr/>
      </w:pPr>
      <w:r>
        <w:rPr>
          <w:rFonts w:cs="Arial Narrow" w:ascii="Arial Narrow" w:hAnsi="Arial Narrow"/>
          <w:sz w:val="18"/>
        </w:rPr>
        <w:t xml:space="preserve">3.  </w:t>
      </w:r>
      <w:r>
        <w:rPr>
          <w:rFonts w:cs="Arial Narrow" w:ascii="Arial Narrow" w:hAnsi="Arial Narrow"/>
          <w:sz w:val="18"/>
          <w:u w:val="single"/>
        </w:rPr>
        <w:t>REPRESENTATIONS AND WARRANTIES</w:t>
      </w:r>
      <w:r>
        <w:rPr>
          <w:rFonts w:cs="Arial Narrow" w:ascii="Arial Narrow" w:hAnsi="Arial Narrow"/>
          <w:sz w:val="18"/>
        </w:rPr>
        <w:t>.  Guarantor represents and warrants that:</w:t>
      </w:r>
    </w:p>
    <w:p>
      <w:pPr>
        <w:pStyle w:val="Normal"/>
        <w:keepNext w:val="true"/>
        <w:spacing w:lineRule="exact" w:line="240" w:before="240" w:after="0"/>
        <w:ind w:firstLine="630" w:start="810" w:end="0"/>
        <w:jc w:val="both"/>
        <w:rPr>
          <w:rFonts w:ascii="Arial Narrow" w:hAnsi="Arial Narrow" w:cs="Arial Narrow"/>
          <w:sz w:val="18"/>
        </w:rPr>
      </w:pPr>
      <w:r>
        <w:rPr>
          <w:rFonts w:cs="Arial Narrow" w:ascii="Arial Narrow" w:hAnsi="Arial Narrow"/>
          <w:sz w:val="18"/>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Arial Narrow" w:hAnsi="Arial Narrow" w:cs="Arial Narrow"/>
          <w:sz w:val="18"/>
        </w:rPr>
      </w:pPr>
      <w:r>
        <w:rPr>
          <w:rFonts w:cs="Arial Narrow" w:ascii="Arial Narrow" w:hAnsi="Arial Narrow"/>
          <w:sz w:val="18"/>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Arial Narrow" w:hAnsi="Arial Narrow" w:cs="Arial Narrow"/>
          <w:sz w:val="18"/>
        </w:rPr>
      </w:pPr>
      <w:r>
        <w:rPr>
          <w:rFonts w:cs="Arial Narrow" w:ascii="Arial Narrow" w:hAnsi="Arial Narrow"/>
          <w:sz w:val="18"/>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4.  </w:t>
      </w:r>
      <w:r>
        <w:rPr>
          <w:rFonts w:cs="Arial Narrow" w:ascii="Arial Narrow" w:hAnsi="Arial Narrow"/>
          <w:sz w:val="18"/>
          <w:u w:val="single"/>
        </w:rPr>
        <w:t>SETOFFS AND COUNTERCLAIMS</w:t>
      </w:r>
      <w:r>
        <w:rPr>
          <w:rFonts w:cs="Arial Narrow" w:ascii="Arial Narrow" w:hAnsi="Arial Narrow"/>
          <w:sz w:val="18"/>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5.  </w:t>
      </w:r>
      <w:r>
        <w:rPr>
          <w:rFonts w:cs="Arial Narrow" w:ascii="Arial Narrow" w:hAnsi="Arial Narrow"/>
          <w:sz w:val="18"/>
          <w:u w:val="single"/>
        </w:rPr>
        <w:t>AMENDMENT OF GUARANTY</w:t>
      </w:r>
      <w:r>
        <w:rPr>
          <w:rFonts w:cs="Arial Narrow" w:ascii="Arial Narrow" w:hAnsi="Arial Narrow"/>
          <w:sz w:val="18"/>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6.  </w:t>
      </w:r>
      <w:r>
        <w:rPr>
          <w:rFonts w:cs="Arial Narrow" w:ascii="Arial Narrow" w:hAnsi="Arial Narrow"/>
          <w:sz w:val="18"/>
          <w:u w:val="single"/>
        </w:rPr>
        <w:t>WAIVERS</w:t>
      </w:r>
      <w:r>
        <w:rPr>
          <w:rFonts w:cs="Arial Narrow" w:ascii="Arial Narrow" w:hAnsi="Arial Narrow"/>
          <w:sz w:val="18"/>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7.  </w:t>
      </w:r>
      <w:r>
        <w:rPr>
          <w:rFonts w:cs="Arial Narrow" w:ascii="Arial Narrow" w:hAnsi="Arial Narrow"/>
          <w:sz w:val="18"/>
          <w:u w:val="single"/>
        </w:rPr>
        <w:t>NOTICE</w:t>
      </w:r>
      <w:r>
        <w:rPr>
          <w:rFonts w:cs="Arial Narrow" w:ascii="Arial Narrow" w:hAnsi="Arial Narrow"/>
          <w:sz w:val="18"/>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Arial Narrow" w:hAnsi="Arial Narrow" w:cs="Arial Narrow"/>
          <w:sz w:val="18"/>
        </w:rPr>
      </w:pPr>
      <w:r>
        <w:rPr>
          <w:rFonts w:cs="Arial Narrow" w:ascii="Arial Narrow" w:hAnsi="Arial Narrow"/>
          <w:sz w:val="18"/>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rFonts w:ascii="Arial Narrow" w:hAnsi="Arial Narrow" w:cs="Arial Narrow"/>
                <w:color w:val="000000"/>
                <w:sz w:val="18"/>
              </w:rPr>
            </w:pPr>
            <w:r>
              <w:rPr>
                <w:rFonts w:cs="Arial Narrow" w:ascii="Arial Narrow" w:hAnsi="Arial Narrow"/>
                <w:color w:val="000000"/>
                <w:sz w:val="18"/>
              </w:rPr>
              <w:t>To Counterparty:</w:t>
            </w:r>
          </w:p>
        </w:tc>
        <w:tc>
          <w:tcPr>
            <w:tcW w:w="3492"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rPr>
            </w:pPr>
            <w:r>
              <w:rPr>
                <w:rFonts w:cs="Arial Narrow" w:ascii="Arial Narrow" w:hAnsi="Arial Narrow"/>
                <w:color w:val="000000"/>
                <w:sz w:val="18"/>
              </w:rPr>
              <w:t>Statex Petroleum I, L.P.</w:t>
            </w:r>
          </w:p>
        </w:tc>
        <w:tc>
          <w:tcPr>
            <w:tcW w:w="1618" w:type="dxa"/>
            <w:tcBorders/>
          </w:tcPr>
          <w:p>
            <w:pPr>
              <w:pStyle w:val="Normal"/>
              <w:keepNext w:val="true"/>
              <w:keepLines/>
              <w:spacing w:lineRule="atLeast" w:line="240"/>
              <w:rPr>
                <w:rFonts w:ascii="Arial Narrow" w:hAnsi="Arial Narrow" w:cs="Arial Narrow"/>
                <w:color w:val="000000"/>
                <w:sz w:val="18"/>
              </w:rPr>
            </w:pPr>
            <w:r>
              <w:rPr>
                <w:rFonts w:cs="Arial Narrow" w:ascii="Arial Narrow" w:hAnsi="Arial Narrow"/>
                <w:color w:val="000000"/>
                <w:sz w:val="18"/>
              </w:rPr>
              <w:t>To Guarantor:</w:t>
            </w:r>
          </w:p>
        </w:tc>
        <w:tc>
          <w:tcPr>
            <w:tcW w:w="353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rPr>
            </w:pPr>
            <w:r>
              <w:rPr>
                <w:rFonts w:cs="Arial Narrow" w:ascii="Arial Narrow" w:hAnsi="Arial Narrow"/>
                <w:color w:val="000000"/>
                <w:sz w:val="18"/>
              </w:rPr>
              <w:t>Enron Corp.</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rPr>
            </w:pPr>
            <w:r>
              <w:rPr>
                <w:rFonts w:cs="Arial Narrow" w:ascii="Arial Narrow" w:hAnsi="Arial Narrow"/>
                <w:color w:val="000000"/>
                <w:sz w:val="18"/>
              </w:rPr>
            </w:r>
          </w:p>
        </w:tc>
        <w:tc>
          <w:tcPr>
            <w:tcW w:w="3492"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rPr>
            </w:pPr>
            <w:r>
              <w:rPr>
                <w:rFonts w:cs="Arial Narrow" w:ascii="Arial Narrow" w:hAnsi="Arial Narrow"/>
                <w:color w:val="000000"/>
                <w:sz w:val="18"/>
                <w:u w:val="single"/>
              </w:rPr>
              <w:tab/>
            </w:r>
          </w:p>
        </w:tc>
        <w:tc>
          <w:tcPr>
            <w:tcW w:w="1618" w:type="dxa"/>
            <w:tcBorders/>
          </w:tcPr>
          <w:p>
            <w:pPr>
              <w:pStyle w:val="Normal"/>
              <w:keepNext w:val="true"/>
              <w:keepLines/>
              <w:snapToGrid w:val="false"/>
              <w:spacing w:lineRule="atLeast" w:line="240"/>
              <w:rPr>
                <w:rFonts w:ascii="Arial Narrow" w:hAnsi="Arial Narrow" w:cs="Arial Narrow"/>
                <w:color w:val="000000"/>
                <w:sz w:val="18"/>
              </w:rPr>
            </w:pPr>
            <w:r>
              <w:rPr>
                <w:rFonts w:cs="Arial Narrow" w:ascii="Arial Narrow" w:hAnsi="Arial Narrow"/>
                <w:color w:val="000000"/>
                <w:sz w:val="18"/>
              </w:rPr>
            </w:r>
          </w:p>
        </w:tc>
        <w:tc>
          <w:tcPr>
            <w:tcW w:w="353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rPr>
            </w:pPr>
            <w:r>
              <w:rPr>
                <w:rFonts w:cs="Arial Narrow" w:ascii="Arial Narrow" w:hAnsi="Arial Narrow"/>
                <w:color w:val="000000"/>
                <w:sz w:val="18"/>
              </w:rPr>
              <w:t>1400 Smith Street</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rPr>
            </w:pPr>
            <w:r>
              <w:rPr>
                <w:rFonts w:cs="Arial Narrow" w:ascii="Arial Narrow" w:hAnsi="Arial Narrow"/>
                <w:color w:val="000000"/>
                <w:sz w:val="18"/>
              </w:rPr>
            </w:r>
          </w:p>
        </w:tc>
        <w:tc>
          <w:tcPr>
            <w:tcW w:w="3492"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rPr>
            </w:pPr>
            <w:r>
              <w:rPr>
                <w:rFonts w:cs="Arial Narrow" w:ascii="Arial Narrow" w:hAnsi="Arial Narrow"/>
                <w:color w:val="000000"/>
                <w:sz w:val="18"/>
                <w:u w:val="single"/>
              </w:rPr>
              <w:tab/>
            </w:r>
          </w:p>
        </w:tc>
        <w:tc>
          <w:tcPr>
            <w:tcW w:w="1618" w:type="dxa"/>
            <w:tcBorders/>
          </w:tcPr>
          <w:p>
            <w:pPr>
              <w:pStyle w:val="Normal"/>
              <w:keepNext w:val="true"/>
              <w:keepLines/>
              <w:snapToGrid w:val="false"/>
              <w:spacing w:lineRule="atLeast" w:line="240"/>
              <w:rPr>
                <w:rFonts w:ascii="Arial Narrow" w:hAnsi="Arial Narrow" w:cs="Arial Narrow"/>
                <w:color w:val="000000"/>
                <w:sz w:val="18"/>
              </w:rPr>
            </w:pPr>
            <w:r>
              <w:rPr>
                <w:rFonts w:cs="Arial Narrow" w:ascii="Arial Narrow" w:hAnsi="Arial Narrow"/>
                <w:color w:val="000000"/>
                <w:sz w:val="18"/>
              </w:rPr>
            </w:r>
          </w:p>
        </w:tc>
        <w:tc>
          <w:tcPr>
            <w:tcW w:w="353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rPr>
            </w:pPr>
            <w:r>
              <w:rPr>
                <w:rFonts w:cs="Arial Narrow" w:ascii="Arial Narrow" w:hAnsi="Arial Narrow"/>
                <w:color w:val="000000"/>
                <w:sz w:val="18"/>
              </w:rPr>
              <w:t>Houston, Texas  77002</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rPr>
            </w:pPr>
            <w:r>
              <w:rPr>
                <w:rFonts w:cs="Arial Narrow" w:ascii="Arial Narrow" w:hAnsi="Arial Narrow"/>
                <w:color w:val="000000"/>
                <w:sz w:val="18"/>
              </w:rPr>
            </w:r>
          </w:p>
        </w:tc>
        <w:tc>
          <w:tcPr>
            <w:tcW w:w="3492" w:type="dxa"/>
            <w:tcBorders/>
          </w:tcPr>
          <w:p>
            <w:pPr>
              <w:pStyle w:val="Normal"/>
              <w:keepNext w:val="true"/>
              <w:keepLines/>
              <w:tabs>
                <w:tab w:val="clear" w:pos="720"/>
                <w:tab w:val="left" w:pos="3132" w:leader="none"/>
              </w:tabs>
              <w:spacing w:lineRule="atLeast" w:line="240"/>
              <w:rPr/>
            </w:pPr>
            <w:r>
              <w:rPr>
                <w:rFonts w:cs="Arial Narrow" w:ascii="Arial Narrow" w:hAnsi="Arial Narrow"/>
                <w:color w:val="000000"/>
                <w:sz w:val="18"/>
              </w:rPr>
              <w:t xml:space="preserve">Attn.:  </w:t>
            </w:r>
            <w:r>
              <w:rPr>
                <w:rFonts w:cs="Arial Narrow" w:ascii="Arial Narrow" w:hAnsi="Arial Narrow"/>
                <w:color w:val="000000"/>
                <w:sz w:val="18"/>
                <w:u w:val="single"/>
              </w:rPr>
              <w:tab/>
            </w:r>
          </w:p>
          <w:p>
            <w:pPr>
              <w:pStyle w:val="Normal"/>
              <w:keepNext w:val="true"/>
              <w:keepLines/>
              <w:tabs>
                <w:tab w:val="clear" w:pos="720"/>
                <w:tab w:val="left" w:pos="3132" w:leader="none"/>
              </w:tabs>
              <w:spacing w:lineRule="atLeast" w:line="240"/>
              <w:rPr>
                <w:rFonts w:ascii="Arial Narrow" w:hAnsi="Arial Narrow" w:cs="Arial Narrow"/>
                <w:color w:val="000000"/>
                <w:sz w:val="18"/>
              </w:rPr>
            </w:pPr>
            <w:r>
              <w:rPr>
                <w:rFonts w:cs="Arial Narrow" w:ascii="Arial Narrow" w:hAnsi="Arial Narrow"/>
                <w:color w:val="000000"/>
                <w:sz w:val="18"/>
              </w:rPr>
              <w:t xml:space="preserve">Fax No.:  </w:t>
            </w:r>
            <w:r>
              <w:rPr>
                <w:rFonts w:cs="Arial Narrow" w:ascii="Arial Narrow" w:hAnsi="Arial Narrow"/>
                <w:color w:val="000000"/>
                <w:sz w:val="18"/>
                <w:u w:val="single"/>
              </w:rPr>
              <w:tab/>
            </w:r>
          </w:p>
        </w:tc>
        <w:tc>
          <w:tcPr>
            <w:tcW w:w="1618" w:type="dxa"/>
            <w:tcBorders/>
          </w:tcPr>
          <w:p>
            <w:pPr>
              <w:pStyle w:val="Normal"/>
              <w:keepNext w:val="true"/>
              <w:keepLines/>
              <w:snapToGrid w:val="false"/>
              <w:spacing w:lineRule="atLeast" w:line="240"/>
              <w:rPr>
                <w:rFonts w:ascii="Arial Narrow" w:hAnsi="Arial Narrow" w:cs="Arial Narrow"/>
                <w:color w:val="000000"/>
                <w:sz w:val="18"/>
              </w:rPr>
            </w:pPr>
            <w:r>
              <w:rPr>
                <w:rFonts w:cs="Arial Narrow" w:ascii="Arial Narrow" w:hAnsi="Arial Narrow"/>
                <w:color w:val="000000"/>
                <w:sz w:val="18"/>
              </w:rPr>
            </w:r>
          </w:p>
        </w:tc>
        <w:tc>
          <w:tcPr>
            <w:tcW w:w="353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rPr>
            </w:pPr>
            <w:r>
              <w:rPr>
                <w:rFonts w:cs="Arial Narrow" w:ascii="Arial Narrow" w:hAnsi="Arial Narrow"/>
                <w:color w:val="000000"/>
                <w:sz w:val="18"/>
              </w:rPr>
              <w:t>Attn.:  Vice President, Finance and Treasurer</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rPr>
            </w:pPr>
            <w:r>
              <w:rPr>
                <w:rFonts w:cs="Arial Narrow" w:ascii="Arial Narrow" w:hAnsi="Arial Narrow"/>
                <w:color w:val="000000"/>
                <w:sz w:val="18"/>
              </w:rPr>
            </w:r>
          </w:p>
        </w:tc>
        <w:tc>
          <w:tcPr>
            <w:tcW w:w="3492" w:type="dxa"/>
            <w:tcBorders/>
          </w:tcPr>
          <w:p>
            <w:pPr>
              <w:pStyle w:val="Normal"/>
              <w:keepNext w:val="true"/>
              <w:keepLines/>
              <w:tabs>
                <w:tab w:val="clear" w:pos="720"/>
                <w:tab w:val="left" w:pos="3132" w:leader="none"/>
              </w:tabs>
              <w:snapToGrid w:val="false"/>
              <w:spacing w:lineRule="atLeast" w:line="240"/>
              <w:rPr>
                <w:rFonts w:ascii="Arial Narrow" w:hAnsi="Arial Narrow" w:cs="Arial Narrow"/>
                <w:color w:val="000000"/>
                <w:sz w:val="18"/>
              </w:rPr>
            </w:pPr>
            <w:r>
              <w:rPr>
                <w:rFonts w:cs="Arial Narrow" w:ascii="Arial Narrow" w:hAnsi="Arial Narrow"/>
                <w:color w:val="000000"/>
                <w:sz w:val="18"/>
              </w:rPr>
            </w:r>
          </w:p>
        </w:tc>
        <w:tc>
          <w:tcPr>
            <w:tcW w:w="1618" w:type="dxa"/>
            <w:tcBorders/>
          </w:tcPr>
          <w:p>
            <w:pPr>
              <w:pStyle w:val="Normal"/>
              <w:keepNext w:val="true"/>
              <w:keepLines/>
              <w:snapToGrid w:val="false"/>
              <w:spacing w:lineRule="atLeast" w:line="240"/>
              <w:rPr>
                <w:rFonts w:ascii="Arial Narrow" w:hAnsi="Arial Narrow" w:cs="Arial Narrow"/>
                <w:color w:val="000000"/>
                <w:sz w:val="18"/>
              </w:rPr>
            </w:pPr>
            <w:r>
              <w:rPr>
                <w:rFonts w:cs="Arial Narrow" w:ascii="Arial Narrow" w:hAnsi="Arial Narrow"/>
                <w:color w:val="000000"/>
                <w:sz w:val="18"/>
              </w:rPr>
            </w:r>
          </w:p>
        </w:tc>
        <w:tc>
          <w:tcPr>
            <w:tcW w:w="353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rPr>
            </w:pPr>
            <w:r>
              <w:rPr>
                <w:rFonts w:cs="Arial Narrow" w:ascii="Arial Narrow" w:hAnsi="Arial Narrow"/>
                <w:color w:val="000000"/>
                <w:sz w:val="18"/>
              </w:rPr>
              <w:t>Fax No.:  (713) 646-3422</w:t>
            </w:r>
          </w:p>
        </w:tc>
      </w:tr>
    </w:tbl>
    <w:p>
      <w:pPr>
        <w:pStyle w:val="Normal"/>
        <w:tabs>
          <w:tab w:val="clear" w:pos="720"/>
          <w:tab w:val="left" w:pos="2880" w:leader="none"/>
          <w:tab w:val="left" w:pos="6480" w:leader="none"/>
        </w:tabs>
        <w:spacing w:lineRule="exact" w:line="240"/>
        <w:ind w:start="720" w:end="0"/>
        <w:jc w:val="both"/>
        <w:rPr>
          <w:rFonts w:ascii="Arial Narrow" w:hAnsi="Arial Narrow" w:cs="Arial Narrow"/>
          <w:sz w:val="18"/>
        </w:rPr>
      </w:pPr>
      <w:r>
        <w:rPr>
          <w:rFonts w:cs="Arial Narrow" w:ascii="Arial Narrow" w:hAnsi="Arial Narrow"/>
          <w:sz w:val="18"/>
        </w:rPr>
      </w:r>
    </w:p>
    <w:p>
      <w:pPr>
        <w:pStyle w:val="Normal"/>
        <w:spacing w:lineRule="atLeast" w:line="240"/>
        <w:jc w:val="both"/>
        <w:rPr>
          <w:rFonts w:ascii="Arial Narrow" w:hAnsi="Arial Narrow" w:cs="Arial Narrow"/>
          <w:sz w:val="18"/>
        </w:rPr>
      </w:pPr>
      <w:r>
        <w:rPr>
          <w:rFonts w:cs="Arial Narrow" w:ascii="Arial Narrow" w:hAnsi="Arial Narrow"/>
          <w:sz w:val="18"/>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8.  </w:t>
      </w:r>
      <w:r>
        <w:rPr>
          <w:rFonts w:cs="Arial Narrow" w:ascii="Arial Narrow" w:hAnsi="Arial Narrow"/>
          <w:sz w:val="18"/>
          <w:u w:val="single"/>
        </w:rPr>
        <w:t>MISCELLANEOUS</w:t>
      </w:r>
      <w:r>
        <w:rPr>
          <w:rFonts w:cs="Arial Narrow" w:ascii="Arial Narrow" w:hAnsi="Arial Narrow"/>
          <w:sz w:val="18"/>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r>
        <w:br w:type="page"/>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IN WITNESS WHEREOF, the Guarantor has executed this Guaranty on </w:t>
        <w:tab/>
      </w:r>
      <w:r>
        <w:rPr>
          <w:rFonts w:cs="Arial Narrow" w:ascii="Arial Narrow" w:hAnsi="Arial Narrow"/>
          <w:sz w:val="18"/>
          <w:u w:val="single"/>
        </w:rPr>
        <w:tab/>
      </w:r>
      <w:r>
        <w:rPr>
          <w:rFonts w:cs="Arial Narrow" w:ascii="Arial Narrow" w:hAnsi="Arial Narrow"/>
          <w:sz w:val="18"/>
        </w:rPr>
        <w:t>, 2000, but it is effective as of the date first above written.</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start="5040" w:end="0"/>
        <w:jc w:val="both"/>
        <w:rPr>
          <w:rFonts w:ascii="Arial Narrow" w:hAnsi="Arial Narrow" w:cs="Arial Narrow"/>
          <w:b/>
          <w:sz w:val="18"/>
        </w:rPr>
      </w:pPr>
      <w:r>
        <w:rPr>
          <w:rFonts w:cs="Arial Narrow" w:ascii="Arial Narrow" w:hAnsi="Arial Narrow"/>
          <w:b/>
          <w:sz w:val="18"/>
        </w:rPr>
        <w:t>ENRON CORP.</w:t>
      </w:r>
    </w:p>
    <w:p>
      <w:pPr>
        <w:pStyle w:val="Normal"/>
        <w:spacing w:lineRule="atLeast" w:line="240"/>
        <w:ind w:start="5040" w:end="0"/>
        <w:jc w:val="both"/>
        <w:rPr>
          <w:rFonts w:ascii="Arial Narrow" w:hAnsi="Arial Narrow" w:cs="Arial Narrow"/>
          <w:b/>
          <w:sz w:val="18"/>
        </w:rPr>
      </w:pPr>
      <w:r>
        <w:rPr>
          <w:rFonts w:cs="Arial Narrow" w:ascii="Arial Narrow" w:hAnsi="Arial Narrow"/>
          <w:b/>
          <w:sz w:val="18"/>
        </w:rPr>
      </w:r>
    </w:p>
    <w:p>
      <w:pPr>
        <w:pStyle w:val="Normal"/>
        <w:spacing w:lineRule="atLeast" w:line="240"/>
        <w:ind w:start="5040" w:end="0"/>
        <w:jc w:val="both"/>
        <w:rPr>
          <w:rFonts w:ascii="Arial Narrow" w:hAnsi="Arial Narrow" w:cs="Arial Narrow"/>
          <w:b/>
          <w:sz w:val="18"/>
        </w:rPr>
      </w:pPr>
      <w:r>
        <w:rPr>
          <w:rFonts w:cs="Arial Narrow" w:ascii="Arial Narrow" w:hAnsi="Arial Narrow"/>
          <w:b/>
          <w:sz w:val="18"/>
        </w:rPr>
      </w:r>
    </w:p>
    <w:p>
      <w:pPr>
        <w:pStyle w:val="Normal"/>
        <w:spacing w:lineRule="atLeast" w:line="240"/>
        <w:ind w:start="5040" w:end="0"/>
        <w:jc w:val="both"/>
        <w:rPr>
          <w:rFonts w:ascii="Arial Narrow" w:hAnsi="Arial Narrow" w:cs="Arial Narrow"/>
          <w:sz w:val="18"/>
        </w:rPr>
      </w:pPr>
      <w:r>
        <w:rPr>
          <w:rFonts w:cs="Arial Narrow" w:ascii="Arial Narrow" w:hAnsi="Arial Narrow"/>
          <w:sz w:val="18"/>
        </w:rPr>
        <w:t xml:space="preserve">By:  </w:t>
      </w:r>
      <w:r>
        <w:rPr>
          <w:rFonts w:cs="Arial Narrow" w:ascii="Arial Narrow" w:hAnsi="Arial Narrow"/>
          <w:sz w:val="18"/>
          <w:u w:val="single"/>
        </w:rPr>
        <w:tab/>
        <w:tab/>
        <w:tab/>
        <w:tab/>
        <w:tab/>
        <w:tab/>
      </w:r>
    </w:p>
    <w:p>
      <w:pPr>
        <w:pStyle w:val="Normal"/>
        <w:spacing w:lineRule="atLeast" w:line="240"/>
        <w:ind w:start="5040" w:end="0"/>
        <w:jc w:val="both"/>
        <w:rPr>
          <w:rFonts w:ascii="Arial Narrow" w:hAnsi="Arial Narrow" w:cs="Arial Narrow"/>
          <w:sz w:val="18"/>
        </w:rPr>
      </w:pPr>
      <w:r>
        <w:rPr>
          <w:rFonts w:cs="Arial Narrow" w:ascii="Arial Narrow" w:hAnsi="Arial Narrow"/>
          <w:sz w:val="18"/>
        </w:rPr>
        <w:t xml:space="preserve">Name:  </w:t>
      </w:r>
      <w:r>
        <w:rPr>
          <w:rFonts w:cs="Arial Narrow" w:ascii="Arial Narrow" w:hAnsi="Arial Narrow"/>
          <w:sz w:val="18"/>
          <w:u w:val="single"/>
        </w:rPr>
        <w:tab/>
        <w:tab/>
        <w:tab/>
        <w:tab/>
        <w:tab/>
        <w:tab/>
      </w:r>
    </w:p>
    <w:p>
      <w:pPr>
        <w:pStyle w:val="Normal"/>
        <w:spacing w:lineRule="atLeast" w:line="240"/>
        <w:ind w:start="5040" w:end="0"/>
        <w:jc w:val="both"/>
        <w:rPr>
          <w:rFonts w:ascii="Arial Narrow" w:hAnsi="Arial Narrow" w:cs="Arial Narrow"/>
          <w:sz w:val="18"/>
        </w:rPr>
      </w:pPr>
      <w:r>
        <w:rPr>
          <w:rFonts w:cs="Arial Narrow" w:ascii="Arial Narrow" w:hAnsi="Arial Narrow"/>
          <w:sz w:val="18"/>
        </w:rPr>
        <w:t xml:space="preserve">Title:  </w:t>
      </w:r>
      <w:r>
        <w:rPr>
          <w:rFonts w:cs="Arial Narrow" w:ascii="Arial Narrow" w:hAnsi="Arial Narrow"/>
          <w:sz w:val="18"/>
          <w:u w:val="single"/>
        </w:rPr>
        <w:tab/>
        <w:tab/>
        <w:tab/>
        <w:tab/>
        <w:tab/>
        <w:tab/>
      </w:r>
    </w:p>
    <w:p>
      <w:pPr>
        <w:sectPr>
          <w:headerReference w:type="default" r:id="rId20"/>
          <w:headerReference w:type="first" r:id="rId21"/>
          <w:footerReference w:type="default" r:id="rId22"/>
          <w:footerReference w:type="first" r:id="rId23"/>
          <w:type w:val="nextPage"/>
          <w:pgSz w:w="12240" w:h="15840"/>
          <w:pgMar w:left="1080" w:right="1080" w:gutter="0" w:header="720" w:top="1440" w:footer="720" w:bottom="1440"/>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Heading1"/>
        <w:ind w:hanging="0" w:start="0"/>
        <w:rPr>
          <w:rFonts w:ascii="Arial Narrow" w:hAnsi="Arial Narrow" w:cs="Arial Narrow"/>
          <w:b/>
          <w:sz w:val="18"/>
        </w:rPr>
      </w:pPr>
      <w:r>
        <w:rPr>
          <w:rFonts w:cs="Arial Narrow"/>
          <w:b/>
          <w:sz w:val="18"/>
        </w:rPr>
      </w:r>
    </w:p>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Century Schoolbook">
    <w:charset w:val="00" w:characterSet="windows-1252"/>
    <w:family w:val="roman"/>
    <w:pitch w:val="variable"/>
  </w:font>
  <w:font w:name="MS LineDraw">
    <w:charset w:val="0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/mnt/main-storage/datasets/enron-docs/doc/159ctr.doc</w:t>
    </w:r>
    <w:r>
      <w:rPr>
        <w:sz w:val="16"/>
        <w:rFonts w:cs="Arial Narrow" w:ascii="Arial Narrow" w:hAnsi="Arial Narrow"/>
        <w:lang w:eastAsia="en-US"/>
      </w:rPr>
      <w:fldChar w:fldCharType="end"/>
    </w:r>
  </w:p>
  <w:p>
    <w:pPr>
      <w:pStyle w:val="Normal"/>
      <w:rPr>
        <w:rFonts w:ascii="Arial Narrow" w:hAnsi="Arial Narrow" w:cs="Arial Narrow"/>
        <w:sz w:val="12"/>
      </w:rPr>
    </w:pPr>
    <w:r>
      <w:rPr>
        <w:rFonts w:cs="Arial Narrow" w:ascii="Arial Narrow" w:hAnsi="Arial Narrow"/>
        <w:sz w:val="12"/>
      </w:rPr>
    </w:r>
  </w:p>
  <w:p>
    <w:pPr>
      <w:pStyle w:val="Normal"/>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8</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Narrow" w:ascii="Arial Narrow" w:hAnsi="Arial Narrow"/>
        <w:sz w:val="18"/>
      </w:rPr>
      <w:fldChar w:fldCharType="begin"/>
    </w:r>
    <w:r>
      <w:rPr>
        <w:sz w:val="18"/>
        <w:rFonts w:cs="Arial Narrow" w:ascii="Arial Narrow" w:hAnsi="Arial Narrow"/>
      </w:rPr>
      <w:instrText xml:space="preserve"> KEYWORDS </w:instrText>
    </w:r>
    <w:r>
      <w:rPr>
        <w:sz w:val="18"/>
        <w:rFonts w:cs="Arial Narrow" w:ascii="Arial Narrow" w:hAnsi="Arial Narrow"/>
      </w:rPr>
      <w:fldChar w:fldCharType="separate"/>
    </w:r>
    <w:r>
      <w:rPr>
        <w:sz w:val="18"/>
        <w:rFonts w:cs="Arial Narrow" w:ascii="Arial Narrow" w:hAnsi="Arial Narrow"/>
      </w:rPr>
    </w:r>
    <w:r>
      <w:rPr>
        <w:sz w:val="18"/>
        <w:rFonts w:cs="Arial Narrow" w:ascii="Arial Narrow" w:hAnsi="Arial Narrow"/>
      </w:rPr>
      <w:fldChar w:fldCharType="end"/>
    </w: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/mnt/main-storage/datasets/enron-docs/doc/159ctr.doc</w:t>
    </w:r>
    <w:r>
      <w:rPr>
        <w:sz w:val="16"/>
        <w:rFonts w:cs="Arial Narrow" w:ascii="Arial Narrow" w:hAnsi="Arial Narrow"/>
        <w:lang w:eastAsia="en-US"/>
      </w:rPr>
      <w:fldChar w:fldCharType="end"/>
    </w:r>
    <w:r>
      <w:rPr>
        <w:rFonts w:eastAsia="Arial Narrow" w:cs="Arial Narrow" w:ascii="Arial Narrow" w:hAnsi="Arial Narrow"/>
        <w:sz w:val="18"/>
      </w:rPr>
      <w:t xml:space="preserve"> </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/mnt/main-storage/datasets/enron-docs/doc/159ctr.doc</w:t>
    </w:r>
    <w:r>
      <w:rPr>
        <w:sz w:val="16"/>
        <w:rFonts w:cs="Arial Narrow" w:ascii="Arial Narrow" w:hAnsi="Arial Narrow"/>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/mnt/main-storage/datasets/enron-docs/doc/159ctr.doc</w:t>
    </w:r>
    <w:r>
      <w:rPr>
        <w:sz w:val="16"/>
        <w:rFonts w:cs="Arial Narrow" w:ascii="Arial Narrow" w:hAnsi="Arial Narrow"/>
        <w:lang w:eastAsia="en-US"/>
      </w:rPr>
      <w:fldChar w:fldCharType="end"/>
    </w:r>
  </w:p>
  <w:p>
    <w:pPr>
      <w:pStyle w:val="Footer"/>
      <w:jc w:val="center"/>
      <w:rPr>
        <w:rFonts w:ascii="Arial Narrow" w:hAnsi="Arial Narrow" w:cs="Arial Narrow"/>
        <w:sz w:val="18"/>
      </w:rPr>
    </w:pPr>
    <w:r>
      <w:rPr>
        <w:rFonts w:cs="Arial Narrow" w:ascii="Arial Narrow" w:hAnsi="Arial Narrow"/>
        <w:sz w:val="18"/>
      </w:rPr>
      <w:t>Exhibit A</w:t>
    </w:r>
  </w:p>
  <w:p>
    <w:pPr>
      <w:pStyle w:val="Footer"/>
      <w:jc w:val="center"/>
      <w:rPr/>
    </w:pPr>
    <w:r>
      <w:rPr>
        <w:rFonts w:cs="Arial Narrow" w:ascii="Arial Narrow" w:hAnsi="Arial Narrow"/>
        <w:sz w:val="18"/>
      </w:rPr>
      <w:t xml:space="preserve">Page </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/mnt/main-storage/datasets/enron-docs/doc/159ctr.doc</w:t>
    </w:r>
    <w:r>
      <w:rPr>
        <w:sz w:val="16"/>
        <w:rFonts w:cs="Arial Narrow" w:ascii="Arial Narrow" w:hAnsi="Arial Narrow"/>
        <w:lang w:eastAsia="en-US"/>
      </w:rPr>
      <w:fldChar w:fldCharType="end"/>
    </w:r>
  </w:p>
  <w:p>
    <w:pPr>
      <w:pStyle w:val="Footer"/>
      <w:jc w:val="center"/>
      <w:rPr>
        <w:rFonts w:ascii="Arial Narrow" w:hAnsi="Arial Narrow" w:cs="Arial Narrow"/>
        <w:sz w:val="18"/>
      </w:rPr>
    </w:pPr>
    <w:r>
      <w:rPr>
        <w:rFonts w:cs="Arial Narrow" w:ascii="Arial Narrow" w:hAnsi="Arial Narrow"/>
        <w:sz w:val="18"/>
      </w:rPr>
      <w:t>Exhibit A</w:t>
    </w:r>
  </w:p>
  <w:p>
    <w:pPr>
      <w:pStyle w:val="Footer"/>
      <w:jc w:val="center"/>
      <w:rPr/>
    </w:pPr>
    <w:r>
      <w:rPr>
        <w:rFonts w:cs="Arial Narrow" w:ascii="Arial Narrow" w:hAnsi="Arial Narrow"/>
        <w:sz w:val="18"/>
      </w:rPr>
      <w:t xml:space="preserve">Page </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0</w:t>
    </w:r>
    <w:r>
      <w:rPr>
        <w:sz w:val="18"/>
        <w:rFonts w:cs="Arial Narrow" w:ascii="Arial Narrow" w:hAnsi="Arial Narrow"/>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MS LineDraw" w:hAnsi="MS LineDraw" w:cs="MS LineDraw"/>
        <w:sz w:val="14"/>
      </w:rPr>
    </w:pPr>
    <w:r>
      <w:rPr>
        <w:rFonts w:cs="MS LineDraw" w:ascii="MS LineDraw" w:hAnsi="MS LineDraw"/>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/mnt/main-storage/datasets/enron-docs/doc/159ctr.doc</w:t>
    </w:r>
    <w:r>
      <w:rPr>
        <w:sz w:val="16"/>
        <w:rFonts w:cs="Arial Narrow" w:ascii="Arial Narrow" w:hAnsi="Arial Narrow"/>
        <w:lang w:eastAsia="en-US"/>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8"/>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/mnt/main-storage/datasets/enron-docs/doc/159ctr.doc</w:t>
    </w:r>
    <w:r>
      <w:rPr>
        <w:sz w:val="16"/>
        <w:rFonts w:cs="Arial Narrow" w:ascii="Arial Narrow" w:hAnsi="Arial Narrow"/>
        <w:lang w:eastAsia="en-US"/>
      </w:rPr>
      <w:fldChar w:fldCharType="end"/>
    </w:r>
  </w:p>
  <w:p>
    <w:pPr>
      <w:pStyle w:val="Normal"/>
      <w:jc w:val="center"/>
      <w:rPr>
        <w:rFonts w:ascii="Arial Narrow" w:hAnsi="Arial Narrow" w:cs="Arial Narrow"/>
        <w:sz w:val="18"/>
      </w:rPr>
    </w:pPr>
    <w:r>
      <w:rPr>
        <w:rFonts w:cs="Arial Narrow" w:ascii="Arial Narrow" w:hAnsi="Arial Narrow"/>
        <w:sz w:val="18"/>
      </w:rPr>
      <w:t>Annex A</w:t>
    </w:r>
  </w:p>
  <w:p>
    <w:pPr>
      <w:pStyle w:val="Footer"/>
      <w:jc w:val="center"/>
      <w:rPr/>
    </w:pPr>
    <w:r>
      <w:rPr>
        <w:rFonts w:cs="Arial Narrow" w:ascii="Arial Narrow" w:hAnsi="Arial Narrow"/>
        <w:sz w:val="18"/>
      </w:rPr>
      <w:t xml:space="preserve">Page </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/mnt/main-storage/datasets/enron-docs/doc/159ctr.doc</w:t>
    </w:r>
    <w:r>
      <w:rPr>
        <w:sz w:val="16"/>
        <w:rFonts w:cs="Arial Narrow" w:ascii="Arial Narrow" w:hAnsi="Arial Narrow"/>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8"/>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/mnt/main-storage/datasets/enron-docs/doc/159ctr.doc</w:t>
    </w:r>
    <w:r>
      <w:rPr>
        <w:sz w:val="16"/>
        <w:rFonts w:cs="Arial Narrow" w:ascii="Arial Narrow" w:hAnsi="Arial Narrow"/>
        <w:lang w:eastAsia="en-US"/>
      </w:rPr>
      <w:fldChar w:fldCharType="end"/>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rPr>
    </w:pPr>
    <w:r>
      <w:rPr>
        <w:rFonts w:cs="Arial Narrow" w:ascii="Arial Narrow" w:hAnsi="Arial Narrow"/>
        <w:b/>
      </w:rPr>
      <w:t>Draft of  03/20/00</w:t>
    </w:r>
  </w:p>
  <w:p>
    <w:pPr>
      <w:pStyle w:val="Header"/>
      <w:jc w:val="center"/>
      <w:rPr>
        <w:rFonts w:ascii="Arial Narrow" w:hAnsi="Arial Narrow" w:cs="Arial Narrow"/>
        <w:b/>
      </w:rPr>
    </w:pPr>
    <w:r>
      <w:rPr>
        <w:rFonts w:cs="Arial Narrow" w:ascii="Arial Narrow" w:hAnsi="Arial Narrow"/>
        <w:b/>
      </w:rPr>
    </w:r>
  </w:p>
  <w:p>
    <w:pPr>
      <w:pStyle w:val="Header"/>
      <w:jc w:val="center"/>
      <w:rPr>
        <w:rFonts w:ascii="Arial Narrow" w:hAnsi="Arial Narrow" w:cs="Arial Narrow"/>
        <w:b/>
      </w:rPr>
    </w:pPr>
    <w:r>
      <w:rPr>
        <w:rFonts w:cs="Arial Narrow" w:ascii="Arial Narrow" w:hAnsi="Arial Narrow"/>
        <w:b/>
      </w:rPr>
      <w:t>MASTER AGREEMENT</w:t>
    </w:r>
  </w:p>
  <w:p>
    <w:pPr>
      <w:pStyle w:val="Header"/>
      <w:jc w:val="center"/>
      <w:rPr>
        <w:rFonts w:ascii="Arial Narrow" w:hAnsi="Arial Narrow" w:cs="Arial Narrow"/>
        <w:b/>
      </w:rPr>
    </w:pPr>
    <w:r>
      <w:rPr>
        <w:rFonts w:cs="Arial Narrow" w:ascii="Arial Narrow" w:hAnsi="Arial Narrow"/>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2880" w:leader="none"/>
        <w:tab w:val="left" w:pos="3600" w:leader="none"/>
        <w:tab w:val="left" w:pos="4320" w:leader="none"/>
      </w:tabs>
      <w:jc w:val="both"/>
      <w:outlineLvl w:val="3"/>
    </w:pPr>
    <w:rPr>
      <w:rFonts w:ascii="Arial Narrow" w:hAnsi="Arial Narrow" w:cs="Arial Narrow"/>
      <w:b/>
      <w:sz w:val="18"/>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jc w:val="both"/>
    </w:pPr>
    <w:rPr>
      <w:rFonts w:ascii="Arial Narrow" w:hAnsi="Arial Narrow" w:cs="Arial Narrow"/>
      <w:sz w:val="18"/>
    </w:rPr>
  </w:style>
  <w:style w:type="paragraph" w:styleId="BodyTextIndent3">
    <w:name w:val="Body Text Indent 3"/>
    <w:basedOn w:val="Normal"/>
    <w:qFormat/>
    <w:pPr>
      <w:spacing w:before="240" w:after="0"/>
      <w:ind w:firstLine="180" w:start="0" w:end="0"/>
      <w:jc w:val="both"/>
    </w:pPr>
    <w:rPr>
      <w:rFonts w:ascii="Arial Narrow" w:hAnsi="Arial Narrow" w:cs="Arial Narrow"/>
      <w:sz w:val="18"/>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NormalIndent">
    <w:name w:val="Normal Indent"/>
    <w:basedOn w:val="Normal"/>
    <w:qFormat/>
    <w:pPr>
      <w:ind w:hanging="0" w:start="72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Expanded">
    <w:name w:val="Expanded"/>
    <w:basedOn w:val="Normal"/>
    <w:next w:val="Normal"/>
    <w:qFormat/>
    <w:pPr>
      <w:spacing w:before="0" w:after="240"/>
      <w:jc w:val="center"/>
    </w:pPr>
    <w:rPr>
      <w:b/>
      <w:caps/>
      <w:spacing w:val="60"/>
      <w:sz w:val="22"/>
    </w:rPr>
  </w:style>
  <w:style w:type="paragraph" w:styleId="Acknow">
    <w:name w:val="Acknow"/>
    <w:basedOn w:val="Normal"/>
    <w:next w:val="Normal"/>
    <w:qFormat/>
    <w:pPr>
      <w:tabs>
        <w:tab w:val="clear" w:pos="720"/>
        <w:tab w:val="left" w:pos="2880" w:leader="none"/>
        <w:tab w:val="left" w:pos="3600" w:leader="none"/>
      </w:tabs>
      <w:spacing w:lineRule="atLeast" w:line="240"/>
      <w:jc w:val="both"/>
    </w:pPr>
    <w:rPr>
      <w:rFonts w:ascii="Century Schoolbook" w:hAnsi="Century Schoolbook" w:cs="Century Schoolbook"/>
      <w:sz w:val="24"/>
    </w:rPr>
  </w:style>
  <w:style w:type="paragraph" w:styleId="Single1">
    <w:name w:val="Single 1"/>
    <w:basedOn w:val="Normal"/>
    <w:qFormat/>
    <w:pPr>
      <w:spacing w:lineRule="atLeast" w:line="240" w:before="0" w:after="240"/>
      <w:ind w:firstLine="720" w:start="0" w:end="0"/>
      <w:jc w:val="both"/>
    </w:pPr>
    <w:rPr>
      <w:rFonts w:ascii="Century Schoolbook" w:hAnsi="Century Schoolbook" w:cs="Century Schoolbook"/>
      <w:sz w:val="24"/>
    </w:rPr>
  </w:style>
  <w:style w:type="paragraph" w:styleId="SigLetter">
    <w:name w:val="Sig Letter"/>
    <w:basedOn w:val="Normal"/>
    <w:qFormat/>
    <w:pPr>
      <w:keepLines/>
      <w:tabs>
        <w:tab w:val="clear" w:pos="720"/>
        <w:tab w:val="left" w:pos="4320" w:leader="none"/>
        <w:tab w:val="left" w:pos="4608" w:leader="none"/>
      </w:tabs>
      <w:spacing w:lineRule="atLeast" w:line="240"/>
    </w:pPr>
    <w:rPr>
      <w:rFonts w:ascii="Century Schoolbook" w:hAnsi="Century Schoolbook" w:cs="Century Schoolbook"/>
      <w:sz w:val="24"/>
    </w:rPr>
  </w:style>
  <w:style w:type="paragraph" w:styleId="TitleCB">
    <w:name w:val="Title CB"/>
    <w:basedOn w:val="Normal"/>
    <w:next w:val="Single1"/>
    <w:qFormat/>
    <w:pPr>
      <w:keepNext w:val="true"/>
      <w:spacing w:lineRule="atLeast" w:line="240" w:before="0" w:after="240"/>
      <w:jc w:val="center"/>
    </w:pPr>
    <w:rPr>
      <w:rFonts w:ascii="Century Schoolbook" w:hAnsi="Century Schoolbook" w:cs="Century Schoolbook"/>
      <w:b/>
      <w:cap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13.xml"/><Relationship Id="rId23" Type="http://schemas.openxmlformats.org/officeDocument/2006/relationships/footer" Target="footer14.xml"/><Relationship Id="rId24" Type="http://schemas.openxmlformats.org/officeDocument/2006/relationships/header" Target="header9.xml"/><Relationship Id="rId25" Type="http://schemas.openxmlformats.org/officeDocument/2006/relationships/header" Target="header10.xml"/><Relationship Id="rId26" Type="http://schemas.openxmlformats.org/officeDocument/2006/relationships/footer" Target="footer15.xml"/><Relationship Id="rId27" Type="http://schemas.openxmlformats.org/officeDocument/2006/relationships/footer" Target="footer16.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2000-03-20T16:49:00Z</dcterms:created>
  <dc:creator>mheard</dc:creator>
  <dc:description/>
  <dc:language>en-CA</dc:language>
  <cp:lastModifiedBy>sflynn2</cp:lastModifiedBy>
  <cp:lastPrinted>2000-03-20T17:30:00Z</cp:lastPrinted>
  <dcterms:modified xsi:type="dcterms:W3CDTF">2000-03-20T21:04:00Z</dcterms:modified>
  <cp:revision>50</cp:revision>
  <dc:subject/>
  <dc:title>This Master Agreement is entered into as of _____________, 199_ (this "Master Agreement") between _________________, a __________ corporation ("Counterparty") and ENRON NORTH AMERICA CORP</dc:title>
</cp:coreProperties>
</file>