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tabs>
          <w:tab w:val="clear" w:pos="720"/>
          <w:tab w:val="right" w:pos="11070" w:leader="none"/>
        </w:tabs>
        <w:rPr/>
      </w:pPr>
      <w:r>
        <w:rPr>
          <w:rFonts w:cs="Arial" w:ascii="Arial" w:hAnsi="Arial"/>
          <w:sz w:val="16"/>
        </w:rPr>
        <w:t>STATE OF CALIFORNIA</w:t>
      </w:r>
      <w:r>
        <w:rPr>
          <w:rFonts w:cs="Arial" w:ascii="Arial" w:hAnsi="Arial"/>
        </w:rPr>
        <w:tab/>
      </w:r>
      <w:r>
        <w:rPr>
          <w:rFonts w:cs="Arial" w:ascii="Arial" w:hAnsi="Arial"/>
          <w:sz w:val="16"/>
        </w:rPr>
        <w:t>GRAY DAVIS,</w:t>
      </w:r>
      <w:r>
        <w:rPr>
          <w:rFonts w:cs="Arial" w:ascii="Arial" w:hAnsi="Arial"/>
        </w:rPr>
        <w:t xml:space="preserve"> </w:t>
      </w:r>
      <w:r>
        <w:rPr>
          <w:rFonts w:cs="Arial" w:ascii="Arial" w:hAnsi="Arial"/>
          <w:i/>
          <w:sz w:val="16"/>
        </w:rPr>
        <w:t>Governor</w:t>
      </w:r>
    </w:p>
    <w:p>
      <w:pPr>
        <w:pStyle w:val="Normal"/>
        <w:tabs>
          <w:tab w:val="clear" w:pos="720"/>
          <w:tab w:val="right" w:pos="11070" w:leader="none"/>
        </w:tabs>
        <w:spacing w:before="80" w:after="0"/>
        <w:rPr/>
      </w:pPr>
      <w:r>
        <w:rPr/>
        <w:drawing>
          <wp:inline distT="0" distB="0" distL="0" distR="0">
            <wp:extent cx="671195" cy="6121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7" r="-16" b="-17"/>
                    <a:stretch>
                      <a:fillRect/>
                    </a:stretch>
                  </pic:blipFill>
                  <pic:spPr bwMode="auto">
                    <a:xfrm>
                      <a:off x="0" y="0"/>
                      <a:ext cx="671195" cy="612140"/>
                    </a:xfrm>
                    <a:prstGeom prst="rect">
                      <a:avLst/>
                    </a:prstGeom>
                    <a:noFill/>
                  </pic:spPr>
                </pic:pic>
              </a:graphicData>
            </a:graphic>
          </wp:inline>
        </w:drawing>
      </w:r>
      <w:r>
        <w:rPr>
          <w:rFonts w:cs="Arial" w:ascii="Arial" w:hAnsi="Arial"/>
        </w:rPr>
        <w:t>PUBLIC UTILITIES COMMISSION</w:t>
      </w:r>
    </w:p>
    <w:p>
      <w:pPr>
        <w:pStyle w:val="Normal"/>
        <w:tabs>
          <w:tab w:val="clear" w:pos="720"/>
          <w:tab w:val="right" w:pos="11070" w:leader="none"/>
        </w:tabs>
        <w:spacing w:before="80" w:after="0"/>
        <w:rPr>
          <w:rFonts w:ascii="Arial" w:hAnsi="Arial" w:cs="Arial"/>
          <w:sz w:val="12"/>
        </w:rPr>
      </w:pPr>
      <w:r>
        <w:rPr>
          <w:rFonts w:cs="Arial" w:ascii="Arial" w:hAnsi="Arial"/>
          <w:sz w:val="12"/>
        </w:rPr>
        <w:t>505 VAN NESS AVENUE</w:t>
      </w:r>
    </w:p>
    <w:p>
      <w:pPr>
        <w:pStyle w:val="Normal"/>
        <w:tabs>
          <w:tab w:val="clear" w:pos="720"/>
          <w:tab w:val="right" w:pos="11070" w:leader="none"/>
        </w:tabs>
        <w:spacing w:before="80" w:after="0"/>
        <w:rPr>
          <w:rFonts w:ascii="Arial" w:hAnsi="Arial" w:cs="Arial"/>
          <w:sz w:val="12"/>
        </w:rPr>
      </w:pPr>
      <w:r>
        <w:rPr>
          <w:rFonts w:cs="Arial" w:ascii="Arial" w:hAnsi="Arial"/>
          <w:sz w:val="12"/>
        </w:rPr>
        <w:t>SAN FRANCISCO, CA  94102-3298</w:t>
      </w:r>
    </w:p>
    <w:p>
      <w:pPr>
        <w:pStyle w:val="Normal"/>
        <w:tabs>
          <w:tab w:val="clear" w:pos="720"/>
          <w:tab w:val="right" w:pos="11070" w:leader="none"/>
        </w:tabs>
        <w:spacing w:before="80" w:after="0"/>
        <w:rPr>
          <w:rFonts w:ascii="Arial" w:hAnsi="Arial" w:cs="Arial"/>
          <w:sz w:val="24"/>
        </w:rPr>
      </w:pPr>
      <w:r>
        <w:rPr>
          <w:rFonts w:cs="Arial" w:ascii="Arial" w:hAnsi="Arial"/>
          <w:sz w:val="24"/>
        </w:rPr>
      </w:r>
    </w:p>
    <w:p>
      <w:pPr>
        <w:pStyle w:val="Heading2"/>
        <w:ind w:start="720" w:end="648"/>
        <w:rPr/>
      </w:pPr>
      <w:r>
        <w:rPr/>
        <w:t>November 20, 2001</w:t>
      </w:r>
    </w:p>
    <w:p>
      <w:pPr>
        <w:pStyle w:val="Normal"/>
        <w:ind w:start="720" w:end="648"/>
        <w:rPr>
          <w:sz w:val="24"/>
        </w:rPr>
      </w:pPr>
      <w:r>
        <w:rPr>
          <w:sz w:val="24"/>
        </w:rPr>
      </w:r>
    </w:p>
    <w:p>
      <w:pPr>
        <w:pStyle w:val="Normal"/>
        <w:ind w:start="720" w:end="648"/>
        <w:rPr>
          <w:sz w:val="24"/>
        </w:rPr>
      </w:pPr>
      <w:r>
        <w:rPr>
          <w:sz w:val="24"/>
        </w:rPr>
      </w:r>
    </w:p>
    <w:p>
      <w:pPr>
        <w:pStyle w:val="Normal"/>
        <w:ind w:start="720" w:end="648"/>
        <w:rPr>
          <w:sz w:val="24"/>
        </w:rPr>
      </w:pPr>
      <w:r>
        <w:rPr>
          <w:sz w:val="24"/>
        </w:rPr>
      </w:r>
    </w:p>
    <w:p>
      <w:pPr>
        <w:pStyle w:val="Normal"/>
        <w:ind w:start="720" w:end="648"/>
        <w:rPr>
          <w:sz w:val="24"/>
        </w:rPr>
      </w:pPr>
      <w:r>
        <w:rPr>
          <w:sz w:val="24"/>
        </w:rPr>
        <w:t>Akbar Jazayeri</w:t>
        <w:tab/>
        <w:tab/>
        <w:tab/>
        <w:tab/>
        <w:tab/>
        <w:tab/>
        <w:t>By Fax: (626) 302-4829</w:t>
      </w:r>
    </w:p>
    <w:p>
      <w:pPr>
        <w:pStyle w:val="Normal"/>
        <w:ind w:start="720" w:end="648"/>
        <w:rPr>
          <w:sz w:val="24"/>
        </w:rPr>
      </w:pPr>
      <w:r>
        <w:rPr>
          <w:sz w:val="24"/>
        </w:rPr>
        <w:t>Director of Revenue and Tariffs</w:t>
      </w:r>
    </w:p>
    <w:p>
      <w:pPr>
        <w:pStyle w:val="Normal"/>
        <w:ind w:start="720" w:end="648"/>
        <w:rPr>
          <w:sz w:val="24"/>
        </w:rPr>
      </w:pPr>
      <w:r>
        <w:rPr>
          <w:sz w:val="24"/>
        </w:rPr>
        <w:t>Southern California Edison Company</w:t>
      </w:r>
    </w:p>
    <w:p>
      <w:pPr>
        <w:pStyle w:val="Normal"/>
        <w:ind w:start="720" w:end="648"/>
        <w:rPr>
          <w:sz w:val="24"/>
        </w:rPr>
      </w:pPr>
      <w:r>
        <w:rPr>
          <w:sz w:val="24"/>
        </w:rPr>
        <w:t>2244 Walnut Grove Avenue, Rm. 303</w:t>
      </w:r>
    </w:p>
    <w:p>
      <w:pPr>
        <w:pStyle w:val="Heading3"/>
        <w:ind w:hanging="0" w:end="648"/>
        <w:rPr/>
      </w:pPr>
      <w:r>
        <w:rPr/>
        <w:t>Rosemead, California 91770</w:t>
      </w:r>
    </w:p>
    <w:p>
      <w:pPr>
        <w:pStyle w:val="Normal"/>
        <w:ind w:start="720" w:end="648"/>
        <w:rPr>
          <w:sz w:val="24"/>
        </w:rPr>
      </w:pPr>
      <w:r>
        <w:rPr>
          <w:sz w:val="24"/>
        </w:rPr>
      </w:r>
    </w:p>
    <w:p>
      <w:pPr>
        <w:pStyle w:val="Normal"/>
        <w:ind w:start="720" w:end="648"/>
        <w:rPr>
          <w:sz w:val="24"/>
        </w:rPr>
      </w:pPr>
      <w:r>
        <w:rPr>
          <w:sz w:val="24"/>
        </w:rPr>
        <w:t>Re: Advice Letter 1586-E</w:t>
      </w:r>
    </w:p>
    <w:p>
      <w:pPr>
        <w:pStyle w:val="Normal"/>
        <w:ind w:start="720" w:end="648"/>
        <w:rPr>
          <w:sz w:val="24"/>
        </w:rPr>
      </w:pPr>
      <w:r>
        <w:rPr>
          <w:sz w:val="24"/>
        </w:rPr>
      </w:r>
    </w:p>
    <w:p>
      <w:pPr>
        <w:pStyle w:val="Normal"/>
        <w:ind w:start="720" w:end="648"/>
        <w:rPr>
          <w:sz w:val="24"/>
        </w:rPr>
      </w:pPr>
      <w:r>
        <w:rPr>
          <w:sz w:val="24"/>
        </w:rPr>
        <w:t>Dear Mr. Jazayeri:</w:t>
      </w:r>
    </w:p>
    <w:p>
      <w:pPr>
        <w:pStyle w:val="Normal"/>
        <w:ind w:firstLine="1440" w:start="720" w:end="648"/>
        <w:rPr>
          <w:sz w:val="24"/>
        </w:rPr>
      </w:pPr>
      <w:r>
        <w:rPr>
          <w:sz w:val="24"/>
        </w:rPr>
      </w:r>
    </w:p>
    <w:p>
      <w:pPr>
        <w:pStyle w:val="Normal"/>
        <w:ind w:start="720" w:end="648"/>
        <w:rPr>
          <w:sz w:val="24"/>
        </w:rPr>
      </w:pPr>
      <w:r>
        <w:rPr>
          <w:sz w:val="24"/>
        </w:rPr>
        <w:t xml:space="preserve">In your advice letter, you have requested a shortened protest period and a shortened response period to any protest. Your request to shorten the protest period is denied. Protests for the above referenced advice letter are due December 4, 2001. However, under the authority of General Order 96-A, Section XV, I grant your request to shorten your response period to protests. Responses to protests are due December 7, 2001. </w:t>
      </w:r>
    </w:p>
    <w:p>
      <w:pPr>
        <w:pStyle w:val="Normal"/>
        <w:ind w:start="720" w:end="648"/>
        <w:rPr>
          <w:sz w:val="24"/>
        </w:rPr>
      </w:pPr>
      <w:r>
        <w:rPr>
          <w:sz w:val="24"/>
        </w:rPr>
      </w:r>
    </w:p>
    <w:p>
      <w:pPr>
        <w:pStyle w:val="Normal"/>
        <w:ind w:start="720" w:end="648"/>
        <w:rPr>
          <w:sz w:val="24"/>
        </w:rPr>
      </w:pPr>
      <w:r>
        <w:rPr>
          <w:sz w:val="24"/>
        </w:rPr>
        <w:t>This schedule will preserve the Commission’s options to adjust the remaining time periods required to process the advice letter.</w:t>
      </w:r>
    </w:p>
    <w:p>
      <w:pPr>
        <w:pStyle w:val="Normal"/>
        <w:ind w:start="720" w:end="648"/>
        <w:rPr>
          <w:sz w:val="24"/>
        </w:rPr>
      </w:pPr>
      <w:r>
        <w:rPr>
          <w:sz w:val="24"/>
        </w:rPr>
      </w:r>
    </w:p>
    <w:p>
      <w:pPr>
        <w:pStyle w:val="Normal"/>
        <w:ind w:start="720" w:end="648"/>
        <w:rPr>
          <w:sz w:val="24"/>
        </w:rPr>
      </w:pPr>
      <w:r>
        <w:rPr>
          <w:sz w:val="24"/>
        </w:rPr>
        <w:t>All protests should be served by e-mail and mail to the Energy Division and Southern California Edison at the addresses stated in the Advice Letter.</w:t>
      </w:r>
    </w:p>
    <w:p>
      <w:pPr>
        <w:pStyle w:val="Normal"/>
        <w:ind w:end="648"/>
        <w:rPr>
          <w:sz w:val="24"/>
        </w:rPr>
      </w:pPr>
      <w:r>
        <w:rPr>
          <w:sz w:val="24"/>
        </w:rPr>
      </w:r>
    </w:p>
    <w:p>
      <w:pPr>
        <w:pStyle w:val="Normal"/>
        <w:ind w:start="720" w:end="648"/>
        <w:rPr>
          <w:sz w:val="24"/>
        </w:rPr>
      </w:pPr>
      <w:r>
        <w:rPr>
          <w:sz w:val="24"/>
        </w:rPr>
        <w:t>You are directed to provide a copy of this letter via email and mail to all parties who have received the advice letter.</w:t>
      </w:r>
    </w:p>
    <w:p>
      <w:pPr>
        <w:pStyle w:val="Normal"/>
        <w:ind w:start="720" w:end="648"/>
        <w:rPr>
          <w:sz w:val="24"/>
        </w:rPr>
      </w:pPr>
      <w:r>
        <w:rPr>
          <w:sz w:val="24"/>
        </w:rPr>
      </w:r>
    </w:p>
    <w:p>
      <w:pPr>
        <w:pStyle w:val="Normal"/>
        <w:ind w:start="720" w:end="648"/>
        <w:rPr>
          <w:sz w:val="24"/>
        </w:rPr>
      </w:pPr>
      <w:r>
        <w:rPr>
          <w:sz w:val="24"/>
        </w:rPr>
        <w:t>Very truly yours,</w:t>
      </w:r>
    </w:p>
    <w:p>
      <w:pPr>
        <w:pStyle w:val="Normal"/>
        <w:ind w:start="720" w:end="648"/>
        <w:rPr>
          <w:sz w:val="24"/>
        </w:rPr>
      </w:pPr>
      <w:r>
        <w:rPr>
          <w:sz w:val="24"/>
        </w:rPr>
      </w:r>
    </w:p>
    <w:p>
      <w:pPr>
        <w:pStyle w:val="Normal"/>
        <w:ind w:start="720" w:end="648"/>
        <w:rPr>
          <w:sz w:val="24"/>
        </w:rPr>
      </w:pPr>
      <w:r>
        <w:rPr>
          <w:sz w:val="24"/>
        </w:rPr>
      </w:r>
    </w:p>
    <w:p>
      <w:pPr>
        <w:pStyle w:val="Normal"/>
        <w:ind w:start="720" w:end="648"/>
        <w:rPr>
          <w:sz w:val="24"/>
        </w:rPr>
      </w:pPr>
      <w:r>
        <w:rPr>
          <w:sz w:val="24"/>
        </w:rPr>
      </w:r>
    </w:p>
    <w:p>
      <w:pPr>
        <w:pStyle w:val="Normal"/>
        <w:ind w:start="720" w:end="648"/>
        <w:rPr>
          <w:sz w:val="24"/>
        </w:rPr>
      </w:pPr>
      <w:r>
        <w:rPr>
          <w:sz w:val="24"/>
        </w:rPr>
      </w:r>
    </w:p>
    <w:p>
      <w:pPr>
        <w:pStyle w:val="Heading1"/>
        <w:ind w:hanging="0" w:start="720" w:end="648"/>
        <w:rPr/>
      </w:pPr>
      <w:r>
        <w:rPr/>
        <w:t>Wesley M. Franklin</w:t>
      </w:r>
    </w:p>
    <w:p>
      <w:pPr>
        <w:pStyle w:val="Normal"/>
        <w:ind w:start="720" w:end="648"/>
        <w:rPr>
          <w:sz w:val="24"/>
        </w:rPr>
      </w:pPr>
      <w:r>
        <w:rPr>
          <w:sz w:val="24"/>
        </w:rPr>
        <w:t>Executive Director</w:t>
      </w:r>
    </w:p>
    <w:sectPr>
      <w:type w:val="nextPage"/>
      <w:pgSz w:w="12240" w:h="15840"/>
      <w:pgMar w:left="576" w:right="576"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i/>
      <w:iCs/>
      <w:sz w:val="24"/>
      <w:szCs w:val="24"/>
    </w:rPr>
  </w:style>
  <w:style w:type="paragraph" w:styleId="Heading2">
    <w:name w:val="heading 2"/>
    <w:basedOn w:val="Normal"/>
    <w:next w:val="Normal"/>
    <w:qFormat/>
    <w:pPr>
      <w:keepNext w:val="true"/>
      <w:numPr>
        <w:ilvl w:val="1"/>
        <w:numId w:val="1"/>
      </w:numPr>
      <w:ind w:hanging="0" w:start="1440" w:end="0"/>
      <w:outlineLvl w:val="1"/>
    </w:pPr>
    <w:rPr>
      <w:sz w:val="24"/>
    </w:rPr>
  </w:style>
  <w:style w:type="paragraph" w:styleId="Heading3">
    <w:name w:val="heading 3"/>
    <w:basedOn w:val="Normal"/>
    <w:next w:val="Normal"/>
    <w:qFormat/>
    <w:pPr>
      <w:keepNext w:val="true"/>
      <w:numPr>
        <w:ilvl w:val="2"/>
        <w:numId w:val="1"/>
      </w:numPr>
      <w:ind w:firstLine="1440" w:start="720" w:end="648"/>
      <w:outlineLvl w:val="2"/>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2001-11-20T15:40:00Z</dcterms:created>
  <dc:creator>Employee</dc:creator>
  <dc:description/>
  <dc:language>en-CA</dc:language>
  <cp:lastModifiedBy>Emelyn Lawler</cp:lastModifiedBy>
  <cp:lastPrinted>2001-11-20T10:03:00Z</cp:lastPrinted>
  <dcterms:modified xsi:type="dcterms:W3CDTF">2001-11-21T16:09:00Z</dcterms:modified>
  <cp:revision>3</cp:revision>
  <dc:subject/>
  <dc:title>CPUC Letterhead.Gray Davis</dc:title>
</cp:coreProperties>
</file>