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color w:val="000000"/>
        </w:rPr>
        <w:t>[ENA LETTERHEAD]</w:t>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t>_________________, 2000</w:t>
      </w:r>
    </w:p>
    <w:p>
      <w:pPr>
        <w:pStyle w:val="Normal"/>
        <w:rPr>
          <w:color w:val="000000"/>
        </w:rPr>
      </w:pPr>
      <w:r>
        <w:rPr>
          <w:color w:val="000000"/>
        </w:rPr>
      </w:r>
    </w:p>
    <w:p>
      <w:pPr>
        <w:pStyle w:val="Index1"/>
        <w:rPr>
          <w:rFonts w:ascii="Times New Roman" w:hAnsi="Times New Roman" w:cs="Times New Roman"/>
          <w:color w:val="000000"/>
        </w:rPr>
      </w:pPr>
      <w:r>
        <w:rPr>
          <w:rFonts w:cs="Times New Roman" w:ascii="Times New Roman" w:hAnsi="Times New Roman"/>
          <w:color w:val="000000"/>
        </w:rPr>
        <w:t>Grupo Calidra, S.A. de C.V.</w:t>
      </w:r>
    </w:p>
    <w:p>
      <w:pPr>
        <w:pStyle w:val="Normal"/>
        <w:rPr>
          <w:color w:val="000000"/>
        </w:rPr>
      </w:pPr>
      <w:r>
        <w:rPr>
          <w:color w:val="000000"/>
        </w:rPr>
        <w:t>________________</w:t>
      </w:r>
    </w:p>
    <w:p>
      <w:pPr>
        <w:pStyle w:val="Normal"/>
        <w:rPr>
          <w:color w:val="000000"/>
        </w:rPr>
      </w:pPr>
      <w:r>
        <w:rPr>
          <w:color w:val="000000"/>
        </w:rPr>
        <w:t>________________</w:t>
      </w:r>
    </w:p>
    <w:p>
      <w:pPr>
        <w:pStyle w:val="Normal"/>
        <w:rPr>
          <w:color w:val="000000"/>
        </w:rPr>
      </w:pPr>
      <w:r>
        <w:rPr>
          <w:color w:val="000000"/>
        </w:rPr>
        <w:t>Attention: _________________</w:t>
      </w:r>
    </w:p>
    <w:p>
      <w:pPr>
        <w:pStyle w:val="Normal"/>
        <w:rPr>
          <w:color w:val="000000"/>
        </w:rPr>
      </w:pPr>
      <w:r>
        <w:rPr>
          <w:color w:val="000000"/>
        </w:rPr>
      </w:r>
    </w:p>
    <w:p>
      <w:pPr>
        <w:pStyle w:val="Normal"/>
        <w:rPr>
          <w:color w:val="000000"/>
        </w:rPr>
      </w:pPr>
      <w:r>
        <w:rPr>
          <w:color w:val="000000"/>
        </w:rPr>
        <w:t>Fax No.:___________________</w:t>
      </w:r>
    </w:p>
    <w:p>
      <w:pPr>
        <w:pStyle w:val="Normal"/>
        <w:rPr>
          <w:color w:val="000000"/>
        </w:rPr>
      </w:pPr>
      <w:r>
        <w:rPr>
          <w:color w:val="000000"/>
        </w:rPr>
        <w:t>Telephone No.: _____________</w:t>
      </w:r>
    </w:p>
    <w:p>
      <w:pPr>
        <w:pStyle w:val="Index1"/>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color w:val="000000"/>
        </w:rPr>
        <w:t>Re:</w:t>
        <w:tab/>
        <w:t>TRANSACTION ENA Contract No. NW3215</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color w:val="000000"/>
        </w:rPr>
      </w:pPr>
      <w:r>
        <w:rPr>
          <w:color w:val="000000"/>
        </w:rPr>
        <w:t>The purpose of this document is to confirm the terms and conditions of the transaction entered into between Grupo Calidra, S.A. de C.V. (“Counterparty”) and Enron North America Corp. (“ENA”) on August 22,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August 22, 2000 between ___________ of ENA and ____________ of Counterparty.</w:t>
      </w:r>
    </w:p>
    <w:p>
      <w:pPr>
        <w:pStyle w:val="Normal"/>
        <w:jc w:val="both"/>
        <w:rPr>
          <w:color w:val="000000"/>
        </w:rPr>
      </w:pPr>
      <w:r>
        <w:rPr>
          <w:color w:val="000000"/>
        </w:rPr>
      </w:r>
    </w:p>
    <w:p>
      <w:pPr>
        <w:pStyle w:val="Normal"/>
        <w:jc w:val="both"/>
        <w:rPr/>
      </w:pPr>
      <w:r>
        <w:rPr>
          <w:color w:val="000000"/>
        </w:rPr>
        <w:t>2.</w:t>
        <w:tab/>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p>
      <w:pPr>
        <w:pStyle w:val="Normal"/>
        <w:jc w:val="both"/>
        <w:rPr>
          <w:color w:val="000000"/>
        </w:rPr>
      </w:pPr>
      <w:r>
        <w:rPr>
          <w:color w:val="000000"/>
        </w:rPr>
        <w:t>Terms to be supplied by ENA Confirmation Desk</w:t>
      </w:r>
    </w:p>
    <w:p>
      <w:pPr>
        <w:pStyle w:val="Normal"/>
        <w:rPr>
          <w:color w:val="000000"/>
        </w:rPr>
      </w:pPr>
      <w:r>
        <w:rPr>
          <w:color w:val="000000"/>
        </w:rPr>
      </w:r>
    </w:p>
    <w:p>
      <w:pPr>
        <w:pStyle w:val="Normal"/>
        <w:rPr>
          <w:color w:val="000000"/>
        </w:rPr>
      </w:pPr>
      <w:r>
        <w:rPr>
          <w:color w:val="00000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color w:val="000000"/>
              </w:rPr>
            </w:pPr>
            <w:r>
              <w:rPr>
                <w:color w:val="000000"/>
              </w:rPr>
            </w:r>
          </w:p>
          <w:p>
            <w:pPr>
              <w:pStyle w:val="Normal"/>
              <w:rPr>
                <w:color w:val="000000"/>
              </w:rPr>
            </w:pPr>
            <w:r>
              <w:rPr>
                <w:color w:val="000000"/>
              </w:rPr>
              <w:t xml:space="preserve">3.            </w:t>
            </w:r>
            <w:r>
              <w:rPr>
                <w:b/>
                <w:color w:val="000000"/>
                <w:u w:val="single"/>
              </w:rPr>
              <w:t>Account Details.</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r>
        <w:trPr/>
        <w:tc>
          <w:tcPr>
            <w:tcW w:w="4428" w:type="dxa"/>
            <w:tcBorders/>
          </w:tcPr>
          <w:p>
            <w:pPr>
              <w:pStyle w:val="Normal"/>
              <w:rPr>
                <w:color w:val="000000"/>
              </w:rPr>
            </w:pPr>
            <w:r>
              <w:rPr>
                <w:color w:val="000000"/>
              </w:rPr>
              <w:tab/>
            </w:r>
            <w:r>
              <w:rPr>
                <w:color w:val="000000"/>
                <w:u w:val="single"/>
              </w:rPr>
              <w:t>Payments to ENA:</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bl>
    <w:p>
      <w:pPr>
        <w:pStyle w:val="Normal"/>
        <w:rPr>
          <w:color w:val="000000"/>
        </w:rPr>
      </w:pPr>
      <w:r>
        <w:rPr>
          <w:color w:val="00000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hanging="2160"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Enron North America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Fed. ABA No.</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Fed. ABA No.</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pPr>
      <w:r>
        <w:rPr>
          <w:color w:val="000000"/>
        </w:rPr>
        <w:t>4.</w:t>
        <w:tab/>
      </w:r>
      <w:r>
        <w:rPr>
          <w:b/>
          <w:color w:val="000000"/>
          <w:u w:val="single"/>
        </w:rPr>
        <w:t>General</w:t>
      </w:r>
      <w:r>
        <w:rPr>
          <w:b/>
          <w:color w:val="000000"/>
        </w:rPr>
        <w:t>.</w:t>
      </w:r>
      <w:r>
        <w:rPr>
          <w:color w:val="00000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color w:val="000000"/>
        </w:rPr>
      </w:pPr>
      <w:r>
        <w:rPr>
          <w:color w:val="000000"/>
        </w:rPr>
      </w:r>
    </w:p>
    <w:p>
      <w:pPr>
        <w:pStyle w:val="Normal"/>
        <w:jc w:val="both"/>
        <w:rPr>
          <w:color w:val="000000"/>
        </w:rPr>
      </w:pPr>
      <w:r>
        <w:rPr>
          <w:color w:val="00000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color w:val="000000"/>
        </w:rPr>
      </w:pPr>
      <w:r>
        <w:rPr>
          <w:color w:val="000000"/>
        </w:rPr>
      </w:r>
    </w:p>
    <w:p>
      <w:pPr>
        <w:pStyle w:val="Normal"/>
        <w:numPr>
          <w:ilvl w:val="0"/>
          <w:numId w:val="2"/>
        </w:numPr>
        <w:tabs>
          <w:tab w:val="clear" w:pos="720"/>
        </w:tabs>
        <w:ind w:hanging="0" w:start="0" w:end="0"/>
        <w:jc w:val="both"/>
        <w:rPr>
          <w:color w:val="000000"/>
        </w:rPr>
      </w:pPr>
      <w:r>
        <w:rPr>
          <w:b/>
          <w:color w:val="000000"/>
          <w:u w:val="single"/>
        </w:rPr>
        <w:t>Representations</w:t>
      </w:r>
      <w:r>
        <w:rPr>
          <w:b/>
          <w:color w:val="000000"/>
        </w:rPr>
        <w:t>.</w:t>
      </w:r>
      <w:r>
        <w:rPr>
          <w:color w:val="000000"/>
        </w:rPr>
        <w:t xml:space="preserve">  To induce the other to enter into the Transaction, each party represents and warrants to the other that : (a) </w:t>
      </w:r>
      <w:r>
        <w:rPr>
          <w:color w:val="000000"/>
          <w:u w:val="single"/>
        </w:rPr>
        <w:t>Authority</w:t>
      </w:r>
      <w:r>
        <w:rPr>
          <w:color w:val="00000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color w:val="000000"/>
          <w:u w:val="single"/>
        </w:rPr>
        <w:t>Eligible Swap Participant</w:t>
      </w:r>
      <w:r>
        <w:rPr>
          <w:color w:val="000000"/>
        </w:rPr>
        <w:t xml:space="preserve">:  it constitutes an “eligible swap participant” as such term is defined in  17 C.F.R. Section 35.1(b)(2) and this Confirmation constitutes a “swap agreement” within the meaning of 17 C.F.R. Section 35.1(b)(1); it is a corporation, partnership, proprietorship, organization, trust or other entity not created solely to engage in swap transactions and has (i) total assets exceeding $10,000,000, or (ii) a net worth of $1,000,000; and (c) </w:t>
      </w:r>
      <w:r>
        <w:rPr>
          <w:color w:val="000000"/>
          <w:u w:val="single"/>
        </w:rPr>
        <w:t>Line of Business</w:t>
      </w:r>
      <w:r>
        <w:rPr>
          <w:color w:val="00000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color w:val="000000"/>
          <w:u w:val="single"/>
        </w:rPr>
        <w:t>No Reliance and No Advisory Status</w:t>
      </w:r>
      <w:r>
        <w:rPr>
          <w:color w:val="00000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color w:val="000000"/>
          <w:u w:val="single"/>
        </w:rPr>
        <w:t>Tax Representations and Covenants</w:t>
      </w:r>
      <w:r>
        <w:rPr>
          <w:color w:val="000000"/>
        </w:rPr>
        <w:t xml:space="preserve">:  for purposes of Section 3(e) and 3(f) of the ISDA Agreement, each of the parties makes the representations applicable to it as set forth in Sections I(a) and (b) of </w:t>
      </w:r>
      <w:r>
        <w:rPr>
          <w:color w:val="000000"/>
          <w:u w:val="single"/>
        </w:rPr>
        <w:t>Annex A</w:t>
      </w:r>
      <w:r>
        <w:rPr>
          <w:color w:val="000000"/>
        </w:rPr>
        <w:t xml:space="preserve"> to this Confirmation as of the Trade Date and as of the date of this Confirmation and in the case of the representations given for purposes of Section 3(f) of the ISDA Agreement (which representations are set forth in Section I(b) of </w:t>
      </w:r>
      <w:r>
        <w:rPr>
          <w:color w:val="000000"/>
          <w:u w:val="single"/>
        </w:rPr>
        <w:t>Annex A</w:t>
      </w:r>
      <w:r>
        <w:rPr>
          <w:color w:val="000000"/>
        </w:rPr>
        <w:t xml:space="preserve">), at all times until termination of the Transaction.  In addition, each party covenants and agrees that it will deliver to the other party the Tax forms, documents or certificates as required pursuant to Section II(a) of </w:t>
      </w:r>
      <w:r>
        <w:rPr>
          <w:color w:val="000000"/>
          <w:u w:val="single"/>
        </w:rPr>
        <w:t>Annex A</w:t>
      </w:r>
      <w:r>
        <w:rPr>
          <w:color w:val="000000"/>
        </w:rPr>
        <w:t>.</w:t>
      </w:r>
    </w:p>
    <w:p>
      <w:pPr>
        <w:pStyle w:val="Normal"/>
        <w:numPr>
          <w:ilvl w:val="0"/>
          <w:numId w:val="2"/>
        </w:numPr>
        <w:tabs>
          <w:tab w:val="clear" w:pos="720"/>
        </w:tabs>
        <w:spacing w:before="240" w:after="0"/>
        <w:ind w:hanging="0" w:start="0" w:end="0"/>
        <w:jc w:val="both"/>
        <w:rPr>
          <w:color w:val="000000"/>
        </w:rPr>
      </w:pP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000000"/>
        </w:rPr>
      </w:pPr>
      <w:r>
        <w:rPr>
          <w:color w:val="000000"/>
        </w:rPr>
      </w:r>
    </w:p>
    <w:p>
      <w:pPr>
        <w:pStyle w:val="Normal"/>
        <w:jc w:val="both"/>
        <w:rPr/>
      </w:pPr>
      <w:r>
        <w:rPr>
          <w:color w:val="000000"/>
        </w:rPr>
        <w:t>7.</w:t>
        <w:tab/>
      </w:r>
      <w:r>
        <w:rPr>
          <w:b/>
          <w:color w:val="000000"/>
          <w:u w:val="single"/>
        </w:rPr>
        <w:t>Early Termination</w:t>
      </w:r>
      <w:r>
        <w:rPr>
          <w:b/>
          <w:color w:val="000000"/>
        </w:rPr>
        <w:t>.</w:t>
      </w:r>
      <w:r>
        <w:rPr>
          <w:color w:val="000000"/>
        </w:rPr>
        <w:t xml:space="preserve">  For purposes of Section 6(e) of the ISDA Agreement, the Second Method and Loss shall apply.</w:t>
      </w:r>
    </w:p>
    <w:p>
      <w:pPr>
        <w:pStyle w:val="Normal"/>
        <w:jc w:val="both"/>
        <w:rPr>
          <w:color w:val="000000"/>
        </w:rPr>
      </w:pPr>
      <w:r>
        <w:rPr>
          <w:color w:val="000000"/>
        </w:rPr>
      </w:r>
    </w:p>
    <w:p>
      <w:pPr>
        <w:pStyle w:val="Normal"/>
        <w:jc w:val="both"/>
        <w:rPr/>
      </w:pPr>
      <w:r>
        <w:rPr>
          <w:color w:val="000000"/>
        </w:rPr>
        <w:t>8.</w:t>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000000"/>
        </w:rPr>
      </w:pPr>
      <w:r>
        <w:rPr>
          <w:color w:val="000000"/>
        </w:rPr>
      </w:r>
    </w:p>
    <w:p>
      <w:pPr>
        <w:pStyle w:val="Normal"/>
        <w:jc w:val="both"/>
        <w:rPr/>
      </w:pPr>
      <w:r>
        <w:rPr>
          <w:color w:val="000000"/>
        </w:rPr>
        <w:t>9.</w:t>
        <w:tab/>
      </w:r>
      <w:r>
        <w:rPr>
          <w:b/>
          <w:color w:val="000000"/>
          <w:u w:val="single"/>
        </w:rPr>
        <w:t>Governing Law/Jurisdiction</w:t>
      </w:r>
      <w:r>
        <w:rPr>
          <w:b/>
          <w:color w:val="000000"/>
        </w:rPr>
        <w:t>.</w:t>
      </w:r>
      <w:r>
        <w:rPr>
          <w:color w:val="00000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proceedings shall be conducted in English in New York City, New York, and such arbitration, and any related award shall be confidential.”</w:t>
      </w:r>
    </w:p>
    <w:p>
      <w:pPr>
        <w:pStyle w:val="Normal"/>
        <w:jc w:val="both"/>
        <w:rPr>
          <w:color w:val="000000"/>
        </w:rPr>
      </w:pPr>
      <w:r>
        <w:rPr>
          <w:color w:val="000000"/>
        </w:rPr>
      </w:r>
    </w:p>
    <w:p>
      <w:pPr>
        <w:pStyle w:val="Normal"/>
        <w:jc w:val="both"/>
        <w:rPr/>
      </w:pPr>
      <w:r>
        <w:rPr>
          <w:color w:val="000000"/>
        </w:rPr>
        <w:t>10.</w:t>
        <w:tab/>
      </w:r>
      <w:r>
        <w:rPr>
          <w:b/>
          <w:color w:val="000000"/>
          <w:u w:val="single"/>
        </w:rPr>
        <w:t>Confidentiality</w:t>
      </w:r>
      <w:r>
        <w:rPr>
          <w:b/>
          <w:color w:val="000000"/>
        </w:rPr>
        <w:t>.</w:t>
      </w:r>
      <w:r>
        <w:rPr>
          <w:color w:val="00000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color w:val="000000"/>
        </w:rPr>
      </w:pPr>
      <w:r>
        <w:rPr>
          <w:color w:val="000000"/>
        </w:rPr>
      </w:r>
    </w:p>
    <w:p>
      <w:pPr>
        <w:pStyle w:val="Normal"/>
        <w:jc w:val="both"/>
        <w:rPr/>
      </w:pPr>
      <w:r>
        <w:rPr>
          <w:color w:val="000000"/>
        </w:rPr>
        <w:t>11.</w:t>
        <w:tab/>
      </w:r>
      <w:r>
        <w:rPr>
          <w:b/>
          <w:color w:val="000000"/>
          <w:u w:val="single"/>
        </w:rPr>
        <w:t>Calculation Agent</w:t>
      </w:r>
      <w:r>
        <w:rPr>
          <w:b/>
          <w:color w:val="000000"/>
        </w:rPr>
        <w:t>.</w:t>
      </w:r>
      <w:r>
        <w:rPr>
          <w:color w:val="000000"/>
        </w:rPr>
        <w:t xml:space="preserve">  The Calculation Agent shall be ENA.</w:t>
      </w:r>
    </w:p>
    <w:p>
      <w:pPr>
        <w:pStyle w:val="Normal"/>
        <w:jc w:val="both"/>
        <w:rPr>
          <w:color w:val="000000"/>
        </w:rPr>
      </w:pPr>
      <w:r>
        <w:rPr>
          <w:color w:val="000000"/>
        </w:rPr>
      </w:r>
    </w:p>
    <w:p>
      <w:pPr>
        <w:pStyle w:val="Normal"/>
        <w:tabs>
          <w:tab w:val="clear" w:pos="720"/>
          <w:tab w:val="left" w:pos="810" w:leader="none"/>
          <w:tab w:val="left" w:pos="1170" w:leader="none"/>
        </w:tabs>
        <w:jc w:val="both"/>
        <w:rPr/>
      </w:pPr>
      <w:r>
        <w:rPr>
          <w:color w:val="000000"/>
        </w:rPr>
        <w:t>12.</w:t>
        <w:tab/>
      </w:r>
      <w:r>
        <w:rPr>
          <w:b/>
          <w:color w:val="000000"/>
          <w:u w:val="single"/>
        </w:rPr>
        <w:t>Limitation of Liability</w:t>
      </w:r>
      <w:r>
        <w:rPr>
          <w:b/>
          <w:color w:val="000000"/>
        </w:rPr>
        <w:t xml:space="preserve">. </w:t>
      </w:r>
      <w:r>
        <w:rPr>
          <w:color w:val="000000"/>
        </w:rPr>
        <w:t xml:space="preserve">  </w:t>
      </w:r>
      <w:r>
        <w:rPr>
          <w:b/>
          <w:caps/>
          <w:color w:val="00000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color w:val="000000"/>
        </w:rPr>
        <w:t xml:space="preserve"> </w:t>
      </w:r>
    </w:p>
    <w:p>
      <w:pPr>
        <w:pStyle w:val="Normal"/>
        <w:rPr>
          <w:color w:val="000000"/>
        </w:rPr>
      </w:pPr>
      <w:r>
        <w:rPr>
          <w:color w:val="000000"/>
        </w:rPr>
      </w:r>
    </w:p>
    <w:p>
      <w:pPr>
        <w:pStyle w:val="Normal"/>
        <w:jc w:val="both"/>
        <w:rPr/>
      </w:pPr>
      <w:r>
        <w:rPr>
          <w:color w:val="000000"/>
        </w:rPr>
        <w:t>13.</w:t>
        <w:tab/>
      </w:r>
      <w:r>
        <w:rPr>
          <w:b/>
          <w:color w:val="000000"/>
          <w:u w:val="single"/>
        </w:rPr>
        <w:t>Setoff</w:t>
      </w:r>
      <w:r>
        <w:rPr>
          <w:b/>
          <w:color w:val="000000"/>
        </w:rPr>
        <w:t>.</w:t>
      </w:r>
      <w:r>
        <w:rPr>
          <w:color w:val="00000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color w:val="000000"/>
        </w:rPr>
      </w:pPr>
      <w:r>
        <w:rPr>
          <w:color w:val="000000"/>
        </w:rPr>
      </w:r>
    </w:p>
    <w:p>
      <w:pPr>
        <w:pStyle w:val="Normal"/>
        <w:ind w:firstLine="720" w:end="0"/>
        <w:jc w:val="both"/>
        <w:rPr>
          <w:color w:val="000000"/>
        </w:rPr>
      </w:pPr>
      <w:r>
        <w:rPr>
          <w:color w:val="00000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color w:val="000000"/>
        </w:rPr>
      </w:pPr>
      <w:r>
        <w:rPr>
          <w:color w:val="000000"/>
        </w:rPr>
      </w:r>
    </w:p>
    <w:p>
      <w:pPr>
        <w:pStyle w:val="Normal"/>
        <w:jc w:val="both"/>
        <w:rPr/>
      </w:pPr>
      <w:r>
        <w:rPr>
          <w:color w:val="000000"/>
        </w:rPr>
        <w:t>14.</w:t>
        <w:tab/>
      </w:r>
      <w:r>
        <w:rPr>
          <w:b/>
          <w:bCs/>
          <w:color w:val="000000"/>
          <w:u w:val="single"/>
        </w:rPr>
        <w:t>Miscellaneous</w:t>
      </w:r>
      <w:r>
        <w:rPr>
          <w:b/>
          <w:bCs/>
          <w:color w:val="000000"/>
        </w:rPr>
        <w:t>.</w:t>
      </w:r>
    </w:p>
    <w:p>
      <w:pPr>
        <w:pStyle w:val="Normal"/>
        <w:jc w:val="both"/>
        <w:rPr>
          <w:b/>
          <w:bCs/>
          <w:color w:val="000000"/>
          <w:u w:val="single"/>
        </w:rPr>
      </w:pPr>
      <w:r>
        <w:rPr>
          <w:b/>
          <w:bCs/>
          <w:color w:val="000000"/>
          <w:u w:val="single"/>
        </w:rPr>
      </w:r>
    </w:p>
    <w:p>
      <w:pPr>
        <w:pStyle w:val="Normal"/>
        <w:jc w:val="both"/>
        <w:rPr/>
      </w:pPr>
      <w:r>
        <w:rPr>
          <w:color w:val="000000"/>
        </w:rPr>
        <w:t>a)</w:t>
      </w:r>
      <w:r>
        <w:rPr>
          <w:b/>
          <w:color w:val="000000"/>
        </w:rPr>
        <w:t xml:space="preserve"> </w:t>
      </w:r>
      <w:r>
        <w:rPr>
          <w:b/>
          <w:color w:val="000000"/>
          <w:u w:val="single"/>
        </w:rPr>
        <w:t>Additional Representations.</w:t>
      </w:r>
      <w:r>
        <w:rPr>
          <w:color w:val="000000"/>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color w:val="000000"/>
        </w:rPr>
        <w:t>(g)</w:t>
        <w:tab/>
      </w:r>
      <w:r>
        <w:rPr>
          <w:b/>
          <w:color w:val="000000"/>
        </w:rPr>
        <w:t>ENA.</w:t>
      </w:r>
      <w:r>
        <w:rPr>
          <w:color w:val="000000"/>
        </w:rPr>
        <w:t xml:space="preserve">  ENA hereby represents and warrants to Counterparty that:</w:t>
      </w:r>
    </w:p>
    <w:p>
      <w:pPr>
        <w:pStyle w:val="BodyTextIndent3"/>
        <w:numPr>
          <w:ilvl w:val="0"/>
          <w:numId w:val="4"/>
        </w:numPr>
        <w:spacing w:lineRule="auto" w:line="240" w:before="240" w:after="0"/>
        <w:rPr>
          <w:color w:val="000000"/>
          <w:sz w:val="20"/>
        </w:rPr>
      </w:pPr>
      <w:r>
        <w:rPr>
          <w:color w:val="000000"/>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color w:val="000000"/>
          <w:sz w:val="20"/>
        </w:rPr>
      </w:pPr>
      <w:r>
        <w:rPr>
          <w:rFonts w:cs="Times New Roman" w:ascii="Times New Roman" w:hAnsi="Times New Roman"/>
          <w:color w:val="000000"/>
          <w:sz w:val="2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spacing w:before="0" w:after="0"/>
        <w:rPr/>
      </w:pPr>
      <w:r>
        <w:rPr>
          <w:rFonts w:cs="Times New Roman" w:ascii="Times New Roman" w:hAnsi="Times New Roman"/>
          <w:b/>
          <w:color w:val="000000"/>
        </w:rPr>
        <w:t>Counterparty.</w:t>
      </w:r>
      <w:r>
        <w:rPr>
          <w:rFonts w:cs="Times New Roman" w:ascii="Times New Roman" w:hAnsi="Times New Roman"/>
          <w:color w:val="000000"/>
        </w:rPr>
        <w:t xml:space="preserve">   Counterparty hereby represents and warrants to ENA that:</w:t>
      </w:r>
    </w:p>
    <w:p>
      <w:pPr>
        <w:pStyle w:val="Heading2"/>
        <w:spacing w:before="0" w:after="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color w:val="000000"/>
          <w:u w:val="single"/>
        </w:rPr>
        <w:t xml:space="preserve">Registro Publico de Comercio de </w:t>
      </w:r>
      <w:r>
        <w:rPr>
          <w:rFonts w:cs="Times New Roman" w:ascii="Times New Roman" w:hAnsi="Times New Roman"/>
          <w:color w:val="000000"/>
        </w:rPr>
        <w:t>_________) under registry No. ____ on __________________, ______, and whose principal place of business is _____________________.</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Normal"/>
        <w:jc w:val="both"/>
        <w:rPr>
          <w:rFonts w:ascii="Times New Roman" w:hAnsi="Times New Roman" w:cs="Times New Roman"/>
          <w:color w:val="000000"/>
        </w:rPr>
      </w:pPr>
      <w:r>
        <w:rPr>
          <w:rFonts w:cs="Times New Roman"/>
          <w:color w:val="000000"/>
        </w:rPr>
      </w:r>
    </w:p>
    <w:p>
      <w:pPr>
        <w:pStyle w:val="Normal"/>
        <w:numPr>
          <w:ilvl w:val="0"/>
          <w:numId w:val="3"/>
        </w:numPr>
        <w:jc w:val="both"/>
        <w:rPr>
          <w:color w:val="000000"/>
        </w:rPr>
      </w:pPr>
      <w:r>
        <w:rPr>
          <w:color w:val="000000"/>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color w:val="000000"/>
        </w:rPr>
      </w:pPr>
      <w:r>
        <w:rPr>
          <w:color w:val="000000"/>
        </w:rPr>
      </w:r>
    </w:p>
    <w:p>
      <w:pPr>
        <w:pStyle w:val="Normal"/>
        <w:ind w:start="720" w:end="0"/>
        <w:jc w:val="both"/>
        <w:rPr>
          <w:color w:val="000000"/>
        </w:rPr>
      </w:pPr>
      <w:r>
        <w:rPr>
          <w:color w:val="000000"/>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color w:val="000000"/>
        </w:rPr>
      </w:pPr>
      <w:r>
        <w:rPr>
          <w:color w:val="000000"/>
        </w:rPr>
      </w:r>
    </w:p>
    <w:p>
      <w:pPr>
        <w:pStyle w:val="Normal"/>
        <w:rPr/>
      </w:pPr>
      <w:r>
        <w:rPr>
          <w:color w:val="000000"/>
        </w:rPr>
        <w:t xml:space="preserve">b) </w:t>
      </w:r>
      <w:r>
        <w:rPr>
          <w:b/>
          <w:color w:val="000000"/>
          <w:u w:val="single"/>
        </w:rPr>
        <w:t>Legal Opinion.</w:t>
      </w:r>
      <w:r>
        <w:rPr>
          <w:color w:val="00000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000000"/>
        </w:rPr>
      </w:pPr>
      <w:r>
        <w:rPr>
          <w:color w:val="000000"/>
        </w:rPr>
      </w:r>
    </w:p>
    <w:p>
      <w:pPr>
        <w:pStyle w:val="Heading2"/>
        <w:ind w:hanging="0" w:end="0"/>
        <w:rPr/>
      </w:pPr>
      <w:r>
        <w:rPr>
          <w:rFonts w:cs="Times New Roman" w:ascii="Times New Roman" w:hAnsi="Times New Roman"/>
          <w:color w:val="000000"/>
        </w:rPr>
        <w:t>c)</w:t>
      </w:r>
      <w:r>
        <w:rPr>
          <w:rFonts w:cs="Times New Roman" w:ascii="Times New Roman" w:hAnsi="Times New Roman"/>
          <w:b/>
          <w:color w:val="000000"/>
        </w:rPr>
        <w:t xml:space="preserve"> </w:t>
      </w:r>
      <w:r>
        <w:rPr>
          <w:rFonts w:cs="Times New Roman" w:ascii="Times New Roman" w:hAnsi="Times New Roman"/>
          <w:b/>
          <w:color w:val="000000"/>
          <w:u w:val="single"/>
        </w:rPr>
        <w:t>Authorization.</w:t>
      </w:r>
      <w:r>
        <w:rPr>
          <w:rFonts w:cs="Times New Roman" w:ascii="Times New Roman" w:hAnsi="Times New Roman"/>
          <w:color w:val="000000"/>
        </w:rPr>
        <w:t xml:space="preserve">  For the purpose of Section 4(a) of the ISDA Agreement, upon execution of this Confirmation, Counterparty agrees to deliver to ENA: (A) a certified resolution of its board of directors or other governing body authorizing this Confirmation and the Transaction contemplated hereby, (B) copies of its articles of incorporation and bylaws (or other constituent documents), and (C) a certified copy of a Power of Attorney authorizing a specified person or persons to execute and deliver on its behalf this Confirmation.</w:t>
      </w:r>
    </w:p>
    <w:p>
      <w:pPr>
        <w:pStyle w:val="Normal"/>
        <w:rPr>
          <w:color w:val="000000"/>
        </w:rPr>
      </w:pPr>
      <w:r>
        <w:rPr>
          <w:color w:val="000000"/>
        </w:rPr>
        <w:t>15.</w:t>
        <w:tab/>
      </w:r>
      <w:r>
        <w:rPr>
          <w:b/>
          <w:color w:val="000000"/>
          <w:u w:val="single"/>
        </w:rPr>
        <w:t>Offices</w:t>
      </w:r>
      <w:r>
        <w:rPr>
          <w:b/>
          <w:color w:val="000000"/>
        </w:rPr>
        <w:t>.</w:t>
      </w:r>
    </w:p>
    <w:p>
      <w:pPr>
        <w:pStyle w:val="Normal"/>
        <w:keepNext w:val="true"/>
        <w:rPr>
          <w:color w:val="000000"/>
        </w:rPr>
      </w:pPr>
      <w:r>
        <w:rPr>
          <w:color w:val="000000"/>
        </w:rPr>
      </w:r>
    </w:p>
    <w:p>
      <w:pPr>
        <w:pStyle w:val="Normal"/>
        <w:keepNext w:val="true"/>
        <w:jc w:val="both"/>
        <w:rPr>
          <w:color w:val="000000"/>
        </w:rPr>
      </w:pPr>
      <w:r>
        <w:rPr>
          <w:color w:val="00000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color w:val="000000"/>
        </w:rPr>
      </w:pPr>
      <w:r>
        <w:rPr>
          <w:color w:val="000000"/>
        </w:rPr>
      </w:r>
    </w:p>
    <w:p>
      <w:pPr>
        <w:pStyle w:val="Normal"/>
        <w:jc w:val="both"/>
        <w:rPr>
          <w:color w:val="000000"/>
        </w:rPr>
      </w:pPr>
      <w:r>
        <w:rPr>
          <w:color w:val="000000"/>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color w:val="000000"/>
        </w:rPr>
      </w:pPr>
      <w:r>
        <w:rPr>
          <w:color w:val="000000"/>
        </w:rPr>
      </w:r>
    </w:p>
    <w:p>
      <w:pPr>
        <w:pStyle w:val="Normal"/>
        <w:keepNext w:val="true"/>
        <w:jc w:val="both"/>
        <w:rPr>
          <w:b/>
          <w:color w:val="000000"/>
          <w:u w:val="single"/>
        </w:rPr>
      </w:pPr>
      <w:r>
        <w:rPr>
          <w:color w:val="000000"/>
        </w:rPr>
        <w:t>16.</w:t>
        <w:tab/>
      </w:r>
      <w:r>
        <w:rPr>
          <w:b/>
          <w:color w:val="000000"/>
          <w:u w:val="single"/>
        </w:rPr>
        <w:t>Credit or Other Special Provisions</w:t>
      </w:r>
      <w:r>
        <w:rPr>
          <w:b/>
          <w:color w:val="000000"/>
        </w:rPr>
        <w:t>.</w:t>
      </w:r>
    </w:p>
    <w:p>
      <w:pPr>
        <w:pStyle w:val="Normal"/>
        <w:keepNext w:val="true"/>
        <w:jc w:val="both"/>
        <w:rPr>
          <w:b/>
          <w:color w:val="000000"/>
          <w:u w:val="single"/>
        </w:rPr>
      </w:pPr>
      <w:r>
        <w:rPr>
          <w:b/>
          <w:color w:val="000000"/>
          <w:u w:val="single"/>
        </w:rPr>
      </w:r>
    </w:p>
    <w:p>
      <w:pPr>
        <w:pStyle w:val="Normal"/>
        <w:keepNext w:val="true"/>
        <w:jc w:val="both"/>
        <w:rPr>
          <w:color w:val="000000"/>
        </w:rPr>
      </w:pPr>
      <w:r>
        <w:rPr>
          <w:color w:val="00000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color w:val="000000"/>
        </w:rPr>
      </w:pPr>
      <w:r>
        <w:rPr>
          <w:color w:val="000000"/>
        </w:rPr>
      </w:r>
    </w:p>
    <w:p>
      <w:pPr>
        <w:pStyle w:val="BodyText"/>
        <w:rPr>
          <w:color w:val="000000"/>
        </w:rPr>
      </w:pPr>
      <w:r>
        <w:rPr>
          <w:color w:val="000000"/>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color w:val="000000"/>
        </w:rPr>
      </w:pPr>
      <w:r>
        <w:rPr>
          <w:color w:val="000000"/>
        </w:rPr>
        <w:t>Enron North America Corp. is pleased to have entered into this Transaction with you.</w:t>
      </w:r>
    </w:p>
    <w:p>
      <w:pPr>
        <w:pStyle w:val="Normal"/>
        <w:rPr>
          <w:color w:val="000000"/>
        </w:rPr>
      </w:pPr>
      <w:r>
        <w:rPr>
          <w:color w:val="000000"/>
        </w:rPr>
      </w:r>
    </w:p>
    <w:p>
      <w:pPr>
        <w:pStyle w:val="Index1"/>
        <w:keepNext w:val="true"/>
        <w:rPr>
          <w:rFonts w:ascii="Times New Roman" w:hAnsi="Times New Roman" w:cs="Times New Roman"/>
          <w:color w:val="000000"/>
        </w:rPr>
      </w:pPr>
      <w:r>
        <w:rPr>
          <w:rFonts w:cs="Times New Roman" w:ascii="Times New Roman" w:hAnsi="Times New Roman"/>
          <w:color w:val="000000"/>
        </w:rPr>
        <w:t>Yours sincerely,</w:t>
      </w:r>
    </w:p>
    <w:p>
      <w:pPr>
        <w:pStyle w:val="Normal"/>
        <w:keepNext w:val="true"/>
        <w:rPr>
          <w:rFonts w:ascii="Times New Roman" w:hAnsi="Times New Roman" w:cs="Times New Roman"/>
          <w:color w:val="000000"/>
        </w:rPr>
      </w:pPr>
      <w:r>
        <w:rPr>
          <w:rFonts w:cs="Times New Roman"/>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keepNext w:val="true"/>
        <w:rPr>
          <w:color w:val="000000"/>
        </w:rPr>
      </w:pPr>
      <w:r>
        <w:rPr>
          <w:b/>
          <w:color w:val="000000"/>
        </w:rPr>
        <w:t>GRUPO CALIDRA, S.A. de C.V.</w:t>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color w:val="000000"/>
        </w:rPr>
      </w:pPr>
      <w:r>
        <w:rPr>
          <w:color w:val="000000"/>
        </w:rPr>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jc w:val="end"/>
        <w:rPr/>
      </w:pPr>
      <w:r>
        <w:rPr/>
        <w:t>Very truly yours</w:t>
        <w:tab/>
        <w:tab/>
        <w:tab/>
      </w:r>
    </w:p>
    <w:p>
      <w:pPr>
        <w:pStyle w:val="Normal"/>
        <w:keepNext w:val="true"/>
        <w:spacing w:lineRule="exact" w:line="240"/>
        <w:jc w:val="center"/>
        <w:rPr>
          <w:b/>
          <w:color w:val="000000"/>
        </w:rPr>
      </w:pPr>
      <w:r>
        <w:rPr>
          <w:b/>
          <w:color w:val="000000"/>
        </w:rPr>
        <w:t>ANNEX A</w:t>
      </w:r>
    </w:p>
    <w:p>
      <w:pPr>
        <w:pStyle w:val="Normal"/>
        <w:keepNext w:val="true"/>
        <w:spacing w:lineRule="exact" w:line="240"/>
        <w:jc w:val="center"/>
        <w:rPr>
          <w:b/>
          <w:color w:val="000000"/>
        </w:rPr>
      </w:pPr>
      <w:r>
        <w:rPr>
          <w:b/>
          <w:color w:val="000000"/>
        </w:rPr>
      </w:r>
    </w:p>
    <w:p>
      <w:pPr>
        <w:pStyle w:val="Normal"/>
        <w:keepNext w:val="true"/>
        <w:spacing w:lineRule="exact" w:line="240"/>
        <w:jc w:val="center"/>
        <w:rPr>
          <w:b/>
          <w:color w:val="000000"/>
        </w:rPr>
      </w:pPr>
      <w:r>
        <w:rPr>
          <w:b/>
          <w:color w:val="000000"/>
        </w:rPr>
        <w:t>U.S. WITHHOLDING TAX</w:t>
      </w:r>
    </w:p>
    <w:p>
      <w:pPr>
        <w:pStyle w:val="Normal"/>
        <w:keepNext w:val="true"/>
        <w:spacing w:lineRule="exact" w:line="240"/>
        <w:jc w:val="center"/>
        <w:rPr>
          <w:b/>
          <w:color w:val="000000"/>
        </w:rPr>
      </w:pPr>
      <w:r>
        <w:rPr>
          <w:b/>
          <w:color w:val="000000"/>
        </w:rPr>
      </w:r>
    </w:p>
    <w:p>
      <w:pPr>
        <w:pStyle w:val="Normal"/>
        <w:keepNext w:val="true"/>
        <w:jc w:val="center"/>
        <w:rPr>
          <w:b/>
          <w:color w:val="000000"/>
        </w:rPr>
      </w:pPr>
      <w:r>
        <w:rPr>
          <w:b/>
          <w:color w:val="000000"/>
        </w:rPr>
        <w:t>Party A: Enron North America Corp.</w:t>
      </w:r>
    </w:p>
    <w:p>
      <w:pPr>
        <w:pStyle w:val="Normal"/>
        <w:keepNext w:val="true"/>
        <w:jc w:val="center"/>
        <w:rPr>
          <w:b/>
          <w:color w:val="000000"/>
        </w:rPr>
      </w:pPr>
      <w:r>
        <w:rPr>
          <w:b/>
          <w:color w:val="000000"/>
        </w:rPr>
        <w:t>Party B:  Grupo Calidra, S.A. de C.V.</w:t>
      </w:r>
    </w:p>
    <w:p>
      <w:pPr>
        <w:pStyle w:val="Normal"/>
        <w:keepNext w:val="true"/>
        <w:jc w:val="center"/>
        <w:rPr>
          <w:b/>
          <w:color w:val="000000"/>
        </w:rPr>
      </w:pPr>
      <w:r>
        <w:rPr>
          <w:b/>
          <w:color w:val="000000"/>
        </w:rPr>
      </w:r>
    </w:p>
    <w:p>
      <w:pPr>
        <w:pStyle w:val="Normal"/>
        <w:tabs>
          <w:tab w:val="left" w:pos="720" w:leader="none"/>
          <w:tab w:val="left" w:pos="1170" w:leader="none"/>
        </w:tabs>
        <w:spacing w:lineRule="exact" w:line="480"/>
        <w:jc w:val="both"/>
        <w:rPr>
          <w:b/>
          <w:color w:val="000000"/>
        </w:rPr>
      </w:pPr>
      <w:r>
        <w:rPr>
          <w:b/>
          <w:color w:val="000000"/>
        </w:rPr>
        <w:t>I.</w:t>
        <w:tab/>
        <w:t>Tax Representations.</w:t>
      </w:r>
    </w:p>
    <w:p>
      <w:pPr>
        <w:pStyle w:val="Normal"/>
        <w:spacing w:lineRule="exact" w:line="240" w:before="240" w:after="0"/>
        <w:ind w:hanging="720" w:start="720" w:end="0"/>
        <w:jc w:val="both"/>
        <w:rPr/>
      </w:pPr>
      <w:r>
        <w:rPr>
          <w:b/>
          <w:color w:val="000000"/>
        </w:rPr>
        <w:t>(a)</w:t>
        <w:tab/>
        <w:t xml:space="preserve">Payer Representations.  </w:t>
      </w:r>
      <w:r>
        <w:rPr>
          <w:color w:val="000000"/>
        </w:rPr>
        <w:t>For the purpose of Section 3(e) of the ISDA Agreement, Party A and Party B make the following representation:</w:t>
      </w:r>
    </w:p>
    <w:p>
      <w:pPr>
        <w:pStyle w:val="Normal"/>
        <w:spacing w:lineRule="exact" w:line="240" w:before="240" w:after="0"/>
        <w:ind w:start="720" w:end="0"/>
        <w:jc w:val="both"/>
        <w:rPr/>
      </w:pPr>
      <w:r>
        <w:rPr>
          <w:color w:val="00000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color w:val="000000"/>
        </w:rPr>
        <w:t>provided</w:t>
      </w:r>
      <w:r>
        <w:rPr>
          <w:color w:val="00000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color w:val="000000"/>
        </w:rPr>
        <w:t>(b)</w:t>
        <w:tab/>
        <w:t>Payee Representations.</w:t>
      </w:r>
      <w:r>
        <w:rPr>
          <w:color w:val="000000"/>
        </w:rPr>
        <w:t xml:space="preserve">  For the purpose of Section 3(f) of the ISDA Agreement, Party A and Party B make the following representation:</w:t>
      </w:r>
    </w:p>
    <w:p>
      <w:pPr>
        <w:pStyle w:val="Normal"/>
        <w:spacing w:lineRule="exact" w:line="240" w:before="240" w:after="0"/>
        <w:ind w:start="720" w:end="0"/>
        <w:jc w:val="both"/>
        <w:rPr>
          <w:color w:val="000000"/>
        </w:rPr>
      </w:pPr>
      <w:r>
        <w:rPr>
          <w:color w:val="00000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color w:val="000000"/>
        </w:rPr>
        <w:t>"</w:t>
      </w:r>
      <w:r>
        <w:rPr>
          <w:b/>
          <w:color w:val="000000"/>
        </w:rPr>
        <w:t>Specified Treaty</w:t>
      </w:r>
      <w:r>
        <w:rPr>
          <w:color w:val="000000"/>
        </w:rPr>
        <w:t>" means the income tax treaty between the United States and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A,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B, the United States.</w:t>
      </w:r>
    </w:p>
    <w:p>
      <w:pPr>
        <w:pStyle w:val="Normal"/>
        <w:spacing w:lineRule="exact" w:line="480"/>
        <w:jc w:val="both"/>
        <w:rPr>
          <w:b/>
          <w:color w:val="000000"/>
        </w:rPr>
      </w:pPr>
      <w:r>
        <w:rPr>
          <w:b/>
          <w:color w:val="000000"/>
        </w:rPr>
        <w:t>II.</w:t>
        <w:tab/>
        <w:t>Agreement to Deliver Documents.</w:t>
      </w:r>
    </w:p>
    <w:p>
      <w:pPr>
        <w:pStyle w:val="Normal"/>
        <w:spacing w:lineRule="exact" w:line="240" w:before="240" w:after="0"/>
        <w:jc w:val="both"/>
        <w:rPr>
          <w:color w:val="000000"/>
        </w:rPr>
      </w:pPr>
      <w:r>
        <w:rPr>
          <w:color w:val="000000"/>
        </w:rPr>
        <w:t>For the purpose of Section 4(a) of the ISDA Agreement, the Tax forms, documents, or certificates to be delivered are:</w:t>
      </w:r>
    </w:p>
    <w:p>
      <w:pPr>
        <w:pStyle w:val="Normal"/>
        <w:spacing w:lineRule="exact" w:line="240" w:before="240" w:after="0"/>
        <w:ind w:hanging="720" w:start="720" w:end="0"/>
        <w:jc w:val="both"/>
        <w:rPr>
          <w:color w:val="000000"/>
        </w:rPr>
      </w:pPr>
      <w:r>
        <w:rPr>
          <w:color w:val="000000"/>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color w:val="000000"/>
        </w:rPr>
      </w:pPr>
      <w:r>
        <w:rPr>
          <w:b/>
          <w:color w:val="000000"/>
        </w:rPr>
      </w:r>
    </w:p>
    <w:p>
      <w:pPr>
        <w:sectPr>
          <w:footerReference w:type="default" r:id="rId6"/>
          <w:footerReference w:type="first" r:id="rId7"/>
          <w:type w:val="nextPage"/>
          <w:pgSz w:w="12240" w:h="15840"/>
          <w:pgMar w:left="1008" w:right="1008" w:gutter="0" w:header="0" w:top="1008" w:footer="432" w:bottom="1008"/>
          <w:pgNumType w:start="1" w:fmt="decimal"/>
          <w:formProt w:val="false"/>
          <w:textDirection w:val="lrTb"/>
          <w:docGrid w:type="default" w:linePitch="360" w:charSpace="0"/>
        </w:sectPr>
        <w:pStyle w:val="Normal"/>
        <w:spacing w:lineRule="exact" w:line="240"/>
        <w:jc w:val="both"/>
        <w:rPr/>
      </w:pPr>
      <w:r>
        <w:rPr>
          <w:b/>
          <w:color w:val="000000"/>
        </w:rPr>
        <w:t>III.</w:t>
        <w:tab/>
        <w:t xml:space="preserve">Definitions. </w:t>
      </w:r>
      <w:r>
        <w:rPr>
          <w:color w:val="000000"/>
        </w:rPr>
        <w:t xml:space="preserve">  Capitalized terms not otherwise defined in this Annex A shall have the meaning set forth in this Confirmation or the ISDA Agreement.</w:t>
      </w:r>
    </w:p>
    <w:p>
      <w:pPr>
        <w:pStyle w:val="Normal"/>
        <w:jc w:val="center"/>
        <w:rPr>
          <w:b/>
          <w:color w:val="000000"/>
          <w:u w:val="single"/>
        </w:rPr>
      </w:pPr>
      <w:r>
        <w:rPr>
          <w:b/>
          <w:color w:val="000000"/>
          <w:u w:val="single"/>
        </w:rPr>
        <w:t>ANNEX B</w:t>
      </w:r>
    </w:p>
    <w:p>
      <w:pPr>
        <w:pStyle w:val="Normal"/>
        <w:jc w:val="center"/>
        <w:rPr>
          <w:b/>
          <w:color w:val="000000"/>
          <w:u w:val="single"/>
        </w:rPr>
      </w:pPr>
      <w:r>
        <w:rPr>
          <w:b/>
          <w:color w:val="000000"/>
          <w:u w:val="single"/>
        </w:rPr>
      </w:r>
    </w:p>
    <w:p>
      <w:pPr>
        <w:pStyle w:val="Normal"/>
        <w:jc w:val="center"/>
        <w:rPr>
          <w:b/>
          <w:color w:val="000000"/>
        </w:rPr>
      </w:pPr>
      <w:r>
        <w:rPr>
          <w:b/>
          <w:color w:val="000000"/>
        </w:rPr>
        <w:t>CREDIT AND OTHER SPECIAL PROVISIONS</w:t>
      </w:r>
    </w:p>
    <w:p>
      <w:pPr>
        <w:pStyle w:val="Normal"/>
        <w:jc w:val="center"/>
        <w:rPr>
          <w:b/>
          <w:color w:val="000000"/>
        </w:rPr>
      </w:pPr>
      <w:r>
        <w:rPr>
          <w:b/>
          <w:color w:val="000000"/>
        </w:rPr>
      </w:r>
    </w:p>
    <w:p>
      <w:pPr>
        <w:pStyle w:val="Normal"/>
        <w:jc w:val="center"/>
        <w:rPr>
          <w:b/>
          <w:color w:val="000000"/>
        </w:rPr>
      </w:pPr>
      <w:r>
        <w:rPr>
          <w:b/>
          <w:color w:val="000000"/>
        </w:rPr>
      </w:r>
    </w:p>
    <w:p>
      <w:pPr>
        <w:pStyle w:val="Normal"/>
        <w:jc w:val="both"/>
        <w:rPr>
          <w:color w:val="000000"/>
        </w:rPr>
      </w:pPr>
      <w:r>
        <w:rPr>
          <w:color w:val="00000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color w:val="000000"/>
        </w:rPr>
        <w:t>1.</w:t>
        <w:tab/>
      </w:r>
      <w:r>
        <w:rPr>
          <w:color w:val="000000"/>
          <w:u w:val="single"/>
        </w:rPr>
        <w:t>Additional Events of Default</w:t>
      </w:r>
      <w:r>
        <w:rPr>
          <w:color w:val="000000"/>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000000"/>
          <w:u w:val="single"/>
        </w:rPr>
      </w:pPr>
      <w:r>
        <w:rPr>
          <w:b/>
          <w:color w:val="000000"/>
          <w:u w:val="single"/>
        </w:rPr>
      </w:r>
    </w:p>
    <w:p>
      <w:pPr>
        <w:pStyle w:val="Normal"/>
        <w:ind w:hanging="360" w:start="720" w:end="0"/>
        <w:jc w:val="both"/>
        <w:rPr>
          <w:color w:val="000000"/>
        </w:rPr>
      </w:pPr>
      <w:r>
        <w:rPr>
          <w:color w:val="000000"/>
        </w:rPr>
        <w:t>(i)</w:t>
        <w:tab/>
        <w:t>The following Events of Default are added to Section 5(a) of the ISDA Agreement:</w:t>
      </w:r>
    </w:p>
    <w:p>
      <w:pPr>
        <w:pStyle w:val="Normal"/>
        <w:ind w:hanging="720" w:start="720" w:end="0"/>
        <w:jc w:val="both"/>
        <w:rPr>
          <w:color w:val="000000"/>
        </w:rPr>
      </w:pPr>
      <w:r>
        <w:rPr>
          <w:color w:val="000000"/>
        </w:rPr>
      </w:r>
    </w:p>
    <w:p>
      <w:pPr>
        <w:pStyle w:val="Normal"/>
        <w:ind w:hanging="720" w:start="1440" w:end="0"/>
        <w:jc w:val="both"/>
        <w:rPr>
          <w:color w:val="000000"/>
        </w:rPr>
      </w:pPr>
      <w:r>
        <w:rPr>
          <w:color w:val="000000"/>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color w:val="000000"/>
        </w:rPr>
      </w:pPr>
      <w:r>
        <w:rPr>
          <w:color w:val="000000"/>
        </w:rPr>
      </w:r>
    </w:p>
    <w:p>
      <w:pPr>
        <w:pStyle w:val="Normal"/>
        <w:ind w:hanging="720" w:start="360" w:end="0"/>
        <w:jc w:val="both"/>
        <w:rPr>
          <w:color w:val="000000"/>
        </w:rPr>
      </w:pPr>
      <w:r>
        <w:rPr>
          <w:color w:val="000000"/>
        </w:rPr>
        <w:tab/>
        <w:t>(ii)</w:t>
        <w:tab/>
        <w:t>Cross Default:</w:t>
      </w:r>
    </w:p>
    <w:p>
      <w:pPr>
        <w:pStyle w:val="Normal"/>
        <w:ind w:hanging="720" w:start="720" w:end="0"/>
        <w:jc w:val="both"/>
        <w:rPr>
          <w:color w:val="000000"/>
        </w:rPr>
      </w:pPr>
      <w:r>
        <w:rPr>
          <w:color w:val="000000"/>
        </w:rPr>
      </w:r>
    </w:p>
    <w:p>
      <w:pPr>
        <w:pStyle w:val="Normal"/>
        <w:ind w:start="720" w:end="0"/>
        <w:jc w:val="both"/>
        <w:rPr/>
      </w:pPr>
      <w:r>
        <w:rPr>
          <w:color w:val="000000"/>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 and with respect to Party B, U.S. $5,000,000 (or its equivalent in another currency);</w:t>
      </w:r>
      <w:r>
        <w:rPr>
          <w:color w:val="000000"/>
          <w:u w:val="single"/>
        </w:rPr>
        <w:t xml:space="preserve"> provided</w:t>
      </w:r>
      <w:r>
        <w:rPr>
          <w:color w:val="000000"/>
        </w:rPr>
        <w:t xml:space="preserve">, </w:t>
      </w:r>
      <w:r>
        <w:rPr>
          <w:color w:val="000000"/>
          <w:u w:val="single"/>
        </w:rPr>
        <w:t>that,</w:t>
      </w:r>
      <w:r>
        <w:rPr>
          <w:color w:val="00000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color w:val="000000"/>
        </w:rPr>
      </w:pPr>
      <w:r>
        <w:rPr>
          <w:color w:val="00000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color w:val="000000"/>
        </w:rPr>
        <w:t>2.</w:t>
        <w:tab/>
      </w:r>
      <w:r>
        <w:rPr>
          <w:color w:val="000000"/>
          <w:u w:val="single"/>
        </w:rPr>
        <w:t>Additional General Definitions</w:t>
      </w:r>
      <w:r>
        <w:rPr>
          <w:color w:val="000000"/>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color w:val="000000"/>
        </w:rPr>
      </w:pPr>
      <w:r>
        <w:rPr>
          <w:color w:val="000000"/>
        </w:rPr>
      </w:r>
    </w:p>
    <w:p>
      <w:pPr>
        <w:pStyle w:val="Normal"/>
        <w:spacing w:lineRule="atLeast" w:line="240"/>
        <w:ind w:start="360" w:end="0"/>
        <w:jc w:val="both"/>
        <w:rPr/>
      </w:pPr>
      <w:r>
        <w:rPr>
          <w:i/>
          <w:color w:val="000000"/>
        </w:rPr>
        <w:t>"</w:t>
      </w:r>
      <w:r>
        <w:rPr>
          <w:i/>
          <w:color w:val="000000"/>
          <w:u w:val="single"/>
        </w:rPr>
        <w:t>Material Adverse Change</w:t>
      </w:r>
      <w:r>
        <w:rPr>
          <w:i/>
          <w:color w:val="000000"/>
        </w:rPr>
        <w:t>"</w:t>
      </w:r>
      <w:r>
        <w:rPr>
          <w:color w:val="000000"/>
        </w:rPr>
        <w:t xml:space="preserve"> means (a) with respect to Counterparty, it shall have any of the following occur at any time:  (i) the ratio of its Maximun Total Debt to Net Worth is more than 0.75 to 1.00, or (ii) its Net Worth falls below U.S. $50,000,000, or (iii) the ratio of its Current Assets to Current Liabilities is less than 1 to 1; or (b) with respect to ENA, its Credit Support Provider’s Credit Rating is below “BBB-” by S&amp;P.</w:t>
      </w:r>
    </w:p>
    <w:p>
      <w:pPr>
        <w:pStyle w:val="Normal"/>
        <w:jc w:val="both"/>
        <w:rPr>
          <w:color w:val="000000"/>
        </w:rPr>
      </w:pPr>
      <w:r>
        <w:rPr>
          <w:color w:val="000000"/>
        </w:rPr>
      </w:r>
    </w:p>
    <w:p>
      <w:pPr>
        <w:pStyle w:val="Normal"/>
        <w:ind w:start="360" w:end="0"/>
        <w:jc w:val="both"/>
        <w:rPr>
          <w:b/>
          <w:color w:val="000000"/>
        </w:rPr>
      </w:pPr>
      <w:r>
        <w:rPr>
          <w:color w:val="000000"/>
        </w:rPr>
        <w:t>"</w:t>
      </w:r>
      <w:r>
        <w:rPr>
          <w:i/>
          <w:color w:val="000000"/>
          <w:u w:val="single"/>
        </w:rPr>
        <w:t>Credit Rating</w:t>
      </w:r>
      <w:r>
        <w:rPr>
          <w:color w:val="000000"/>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color w:val="000000"/>
        </w:rPr>
      </w:pPr>
      <w:r>
        <w:rPr>
          <w:b/>
          <w:color w:val="000000"/>
        </w:rPr>
      </w:r>
    </w:p>
    <w:p>
      <w:pPr>
        <w:pStyle w:val="Normal"/>
        <w:ind w:start="360" w:end="0"/>
        <w:jc w:val="both"/>
        <w:rPr/>
      </w:pPr>
      <w:r>
        <w:rPr>
          <w:color w:val="000000"/>
        </w:rPr>
        <w:t>"</w:t>
      </w:r>
      <w:r>
        <w:rPr>
          <w:i/>
          <w:color w:val="000000"/>
          <w:u w:val="single"/>
        </w:rPr>
        <w:t>Current Assets</w:t>
      </w:r>
      <w:r>
        <w:rPr>
          <w:color w:val="000000"/>
        </w:rPr>
        <w:t>" means consolidated current assets of Counterparty as would be reflected on a consolidated balance sheet of Counterparty prepared in accordance with GAAP.</w:t>
      </w:r>
    </w:p>
    <w:p>
      <w:pPr>
        <w:pStyle w:val="Normal"/>
        <w:jc w:val="both"/>
        <w:rPr>
          <w:color w:val="000000"/>
        </w:rPr>
      </w:pPr>
      <w:r>
        <w:rPr>
          <w:color w:val="000000"/>
        </w:rPr>
      </w:r>
    </w:p>
    <w:p>
      <w:pPr>
        <w:pStyle w:val="Normal"/>
        <w:ind w:start="360" w:end="0"/>
        <w:jc w:val="both"/>
        <w:rPr/>
      </w:pPr>
      <w:r>
        <w:rPr>
          <w:color w:val="000000"/>
        </w:rPr>
        <w:t>"</w:t>
      </w:r>
      <w:r>
        <w:rPr>
          <w:i/>
          <w:color w:val="000000"/>
          <w:u w:val="single"/>
        </w:rPr>
        <w:t>Current Liabilities</w:t>
      </w:r>
      <w:r>
        <w:rPr>
          <w:color w:val="000000"/>
        </w:rPr>
        <w:t>" means consolidated current liabilities of Counterparty as would be reflected on a consolidated balance sheet of Counterparty prepared in accordance with GAAP.</w:t>
      </w:r>
    </w:p>
    <w:p>
      <w:pPr>
        <w:pStyle w:val="Normal"/>
        <w:jc w:val="both"/>
        <w:rPr>
          <w:color w:val="000000"/>
        </w:rPr>
      </w:pPr>
      <w:r>
        <w:rPr>
          <w:color w:val="000000"/>
        </w:rPr>
      </w:r>
    </w:p>
    <w:p>
      <w:pPr>
        <w:pStyle w:val="Normal"/>
        <w:ind w:start="360" w:end="144"/>
        <w:jc w:val="both"/>
        <w:rPr/>
      </w:pPr>
      <w:r>
        <w:rPr>
          <w:color w:val="000000"/>
        </w:rPr>
        <w:t>"</w:t>
      </w:r>
      <w:r>
        <w:rPr>
          <w:i/>
          <w:color w:val="000000"/>
          <w:u w:val="single"/>
        </w:rPr>
        <w:t>Maximum Total Debt</w:t>
      </w:r>
      <w:r>
        <w:rPr>
          <w:color w:val="000000"/>
        </w:rPr>
        <w:t>" means consolidated indebtedness of Counterparty which by its terms matures more than one year from the date as of which any calculation of Maximum Total Debt is made.</w:t>
      </w:r>
    </w:p>
    <w:p>
      <w:pPr>
        <w:pStyle w:val="Normal"/>
        <w:jc w:val="both"/>
        <w:rPr>
          <w:color w:val="000000"/>
        </w:rPr>
      </w:pPr>
      <w:r>
        <w:rPr>
          <w:color w:val="000000"/>
        </w:rPr>
      </w:r>
    </w:p>
    <w:p>
      <w:pPr>
        <w:pStyle w:val="Normal"/>
        <w:ind w:start="360" w:end="0"/>
        <w:jc w:val="both"/>
        <w:rPr/>
      </w:pPr>
      <w:r>
        <w:rPr>
          <w:color w:val="000000"/>
        </w:rPr>
        <w:t>"</w:t>
      </w:r>
      <w:r>
        <w:rPr>
          <w:i/>
          <w:color w:val="000000"/>
          <w:u w:val="single"/>
        </w:rPr>
        <w:t>Moody’s</w:t>
      </w:r>
      <w:r>
        <w:rPr>
          <w:color w:val="000000"/>
        </w:rPr>
        <w:t>" means Moody’s Investors Service, Inc. or its successor.</w:t>
      </w:r>
    </w:p>
    <w:p>
      <w:pPr>
        <w:pStyle w:val="Normal"/>
        <w:jc w:val="both"/>
        <w:rPr>
          <w:color w:val="000000"/>
        </w:rPr>
      </w:pPr>
      <w:r>
        <w:rPr>
          <w:color w:val="000000"/>
        </w:rPr>
      </w:r>
    </w:p>
    <w:p>
      <w:pPr>
        <w:pStyle w:val="Normal"/>
        <w:ind w:start="360" w:end="144"/>
        <w:jc w:val="both"/>
        <w:rPr/>
      </w:pPr>
      <w:r>
        <w:rPr>
          <w:color w:val="000000"/>
        </w:rPr>
        <w:t>"</w:t>
      </w:r>
      <w:r>
        <w:rPr>
          <w:i/>
          <w:color w:val="000000"/>
          <w:u w:val="single"/>
        </w:rPr>
        <w:t>Net Worth</w:t>
      </w:r>
      <w:r>
        <w:rPr>
          <w:i/>
          <w:color w:val="000000"/>
        </w:rPr>
        <w:t>"</w:t>
      </w:r>
      <w:r>
        <w:rPr>
          <w:color w:val="000000"/>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color w:val="000000"/>
        </w:rPr>
      </w:pPr>
      <w:r>
        <w:rPr>
          <w:color w:val="000000"/>
        </w:rPr>
      </w:r>
    </w:p>
    <w:p>
      <w:pPr>
        <w:pStyle w:val="Normal"/>
        <w:ind w:start="360" w:end="0"/>
        <w:jc w:val="both"/>
        <w:rPr/>
      </w:pPr>
      <w:r>
        <w:rPr>
          <w:color w:val="000000"/>
        </w:rPr>
        <w:t>"</w:t>
      </w:r>
      <w:r>
        <w:rPr>
          <w:i/>
          <w:color w:val="000000"/>
          <w:u w:val="single"/>
        </w:rPr>
        <w:t>S&amp;P</w:t>
      </w:r>
      <w:r>
        <w:rPr>
          <w:color w:val="000000"/>
        </w:rPr>
        <w:t>" means the Standard &amp; Poor’s Rating Group (a division of McGraw-Hill, Inc.) or its successor.</w:t>
      </w:r>
    </w:p>
    <w:p>
      <w:pPr>
        <w:pStyle w:val="Justified"/>
        <w:spacing w:before="0" w:after="0"/>
        <w:rPr>
          <w:rFonts w:ascii="Times New Roman" w:hAnsi="Times New Roman" w:cs="Times New Roman"/>
          <w:color w:val="000000"/>
          <w:sz w:val="20"/>
        </w:rPr>
      </w:pPr>
      <w:r>
        <w:rPr>
          <w:rFonts w:cs="Times New Roman" w:ascii="Times New Roman" w:hAnsi="Times New Roman"/>
          <w:color w:val="000000"/>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color w:val="000000"/>
          <w:u w:val="single"/>
        </w:rPr>
      </w:pPr>
      <w:r>
        <w:rPr>
          <w:color w:val="000000"/>
        </w:rPr>
        <w:t>3.</w:t>
        <w:tab/>
      </w:r>
      <w:r>
        <w:rPr>
          <w:color w:val="000000"/>
          <w:u w:val="single"/>
        </w:rPr>
        <w:t>Credit Support Documents</w:t>
      </w:r>
      <w:r>
        <w:rPr>
          <w:color w:val="000000"/>
        </w:rPr>
        <w:t>.  The following Sections are  hereby added to the Confirmation:</w:t>
      </w:r>
    </w:p>
    <w:p>
      <w:pPr>
        <w:pStyle w:val="Normal"/>
        <w:jc w:val="both"/>
        <w:rPr>
          <w:b/>
          <w:color w:val="000000"/>
          <w:u w:val="single"/>
        </w:rPr>
      </w:pPr>
      <w:r>
        <w:rPr>
          <w:b/>
          <w:color w:val="000000"/>
          <w:u w:val="single"/>
        </w:rPr>
      </w:r>
    </w:p>
    <w:p>
      <w:pPr>
        <w:pStyle w:val="Normal"/>
        <w:ind w:start="360" w:end="0"/>
        <w:jc w:val="both"/>
        <w:rPr/>
      </w:pPr>
      <w:r>
        <w:rPr>
          <w:color w:val="000000"/>
        </w:rPr>
        <w:t xml:space="preserve">"13.  </w:t>
      </w:r>
      <w:r>
        <w:rPr>
          <w:color w:val="000000"/>
          <w:u w:val="single"/>
        </w:rPr>
        <w:t>Credit Support Documents - Guaranty</w:t>
      </w:r>
      <w:r>
        <w:rPr>
          <w:color w:val="000000"/>
        </w:rPr>
        <w:t>.  Within five (5) Business Days of the date of this Confirmation, ENA shall cause to be delivered to Counterparty the duly executed guaranty (</w:t>
      </w:r>
      <w:r>
        <w:rPr>
          <w:i/>
          <w:color w:val="000000"/>
        </w:rPr>
        <w:t>"</w:t>
      </w:r>
      <w:r>
        <w:rPr>
          <w:i/>
          <w:color w:val="000000"/>
          <w:u w:val="single"/>
        </w:rPr>
        <w:t>Guaranty</w:t>
      </w:r>
      <w:r>
        <w:rPr>
          <w:i/>
          <w:color w:val="000000"/>
        </w:rPr>
        <w:t>"</w:t>
      </w:r>
      <w:r>
        <w:rPr>
          <w:color w:val="000000"/>
        </w:rPr>
        <w:t xml:space="preserve">) from its Credit Support Provider in favor of Counterparty in the form attached as Annex B-2, which shall be a Credit Support Document."  </w:t>
      </w:r>
      <w:r>
        <w:rPr>
          <w:i/>
          <w:color w:val="000000"/>
        </w:rPr>
        <w:t>"</w:t>
      </w:r>
      <w:r>
        <w:rPr>
          <w:i/>
          <w:color w:val="000000"/>
          <w:u w:val="single"/>
        </w:rPr>
        <w:t>Credit Support Provider</w:t>
      </w:r>
      <w:r>
        <w:rPr>
          <w:i/>
          <w:color w:val="000000"/>
        </w:rPr>
        <w:t>"</w:t>
      </w:r>
      <w:r>
        <w:rPr>
          <w:color w:val="000000"/>
        </w:rPr>
        <w:t xml:space="preserve"> means, with respect to ENA only, Enron Corp.</w:t>
      </w:r>
    </w:p>
    <w:p>
      <w:pPr>
        <w:pStyle w:val="Normal"/>
        <w:jc w:val="both"/>
        <w:rPr>
          <w:b/>
          <w:color w:val="000000"/>
          <w:u w:val="single"/>
        </w:rPr>
      </w:pPr>
      <w:r>
        <w:rPr>
          <w:b/>
          <w:color w:val="000000"/>
          <w:u w:val="single"/>
        </w:rPr>
      </w:r>
    </w:p>
    <w:p>
      <w:pPr>
        <w:pStyle w:val="Normal"/>
        <w:jc w:val="both"/>
        <w:rPr/>
      </w:pPr>
      <w:r>
        <w:rPr>
          <w:color w:val="000000"/>
        </w:rPr>
        <w:t>4.</w:t>
        <w:tab/>
      </w:r>
      <w:r>
        <w:rPr>
          <w:color w:val="000000"/>
          <w:u w:val="single"/>
        </w:rPr>
        <w:t>Financial Information</w:t>
      </w:r>
      <w:r>
        <w:rPr>
          <w:color w:val="000000"/>
        </w:rPr>
        <w:t>.</w:t>
      </w:r>
    </w:p>
    <w:p>
      <w:pPr>
        <w:pStyle w:val="Normal"/>
        <w:jc w:val="both"/>
        <w:rPr>
          <w:color w:val="000000"/>
        </w:rPr>
      </w:pPr>
      <w:r>
        <w:rPr>
          <w:color w:val="000000"/>
        </w:rPr>
      </w:r>
    </w:p>
    <w:p>
      <w:pPr>
        <w:pStyle w:val="Normal"/>
        <w:jc w:val="both"/>
        <w:rPr>
          <w:color w:val="000000"/>
        </w:rPr>
      </w:pPr>
      <w:r>
        <w:rPr>
          <w:color w:val="000000"/>
        </w:rPr>
        <w:tab/>
        <w:t>The following documents are hereby required to be delivered pursuant to Section 4(a) of the ISDA Agreement:</w:t>
      </w:r>
    </w:p>
    <w:p>
      <w:pPr>
        <w:pStyle w:val="Normal"/>
        <w:jc w:val="both"/>
        <w:rPr>
          <w:color w:val="000000"/>
        </w:rPr>
      </w:pPr>
      <w:r>
        <w:rPr>
          <w:color w:val="000000"/>
        </w:rPr>
      </w:r>
    </w:p>
    <w:p>
      <w:pPr>
        <w:sectPr>
          <w:footerReference w:type="default" r:id="rId8"/>
          <w:footerReference w:type="first" r:id="rId9"/>
          <w:type w:val="nextPage"/>
          <w:pgSz w:w="12240" w:h="15840"/>
          <w:pgMar w:left="864" w:right="720" w:gutter="0" w:header="0" w:top="1440" w:footer="720" w:bottom="1440"/>
          <w:pgNumType w:start="1" w:fmt="decimal"/>
          <w:formProt w:val="false"/>
          <w:textDirection w:val="lrTb"/>
          <w:docGrid w:type="default" w:linePitch="360" w:charSpace="0"/>
        </w:sectPr>
        <w:pStyle w:val="Normal"/>
        <w:ind w:start="360" w:end="0"/>
        <w:jc w:val="both"/>
        <w:rPr/>
      </w:pPr>
      <w:r>
        <w:rPr>
          <w:color w:val="00000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color w:val="000000"/>
        </w:rPr>
        <w:t>"</w:t>
      </w:r>
      <w:r>
        <w:rPr>
          <w:i/>
          <w:color w:val="000000"/>
          <w:u w:val="single"/>
        </w:rPr>
        <w:t>GAAP</w:t>
      </w:r>
      <w:r>
        <w:rPr>
          <w:i/>
          <w:color w:val="000000"/>
        </w:rPr>
        <w:t>"</w:t>
      </w:r>
      <w:r>
        <w:rPr>
          <w:color w:val="000000"/>
        </w:rPr>
        <w:t>),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(iii) such other publicly available financial information as the other party may reasonably request.”</w:t>
      </w:r>
    </w:p>
    <w:p>
      <w:pPr>
        <w:pStyle w:val="Normal"/>
        <w:jc w:val="center"/>
        <w:rPr>
          <w:b/>
          <w:color w:val="000000"/>
        </w:rPr>
      </w:pPr>
      <w:r>
        <w:rPr>
          <w:b/>
          <w:color w:val="000000"/>
          <w:u w:val="single"/>
        </w:rPr>
        <w:t>ANNEX B-1</w:t>
      </w:r>
    </w:p>
    <w:p>
      <w:pPr>
        <w:pStyle w:val="Normal"/>
        <w:jc w:val="center"/>
        <w:rPr>
          <w:color w:val="000000"/>
        </w:rPr>
      </w:pPr>
      <w:r>
        <w:rPr>
          <w:b/>
          <w:color w:val="000000"/>
          <w:u w:val="single"/>
        </w:rPr>
        <w:t>COLLATERAL AND EXPOSURE PROVISIONS</w:t>
      </w:r>
    </w:p>
    <w:p>
      <w:pPr>
        <w:pStyle w:val="Normal"/>
        <w:jc w:val="center"/>
        <w:rPr>
          <w:color w:val="000000"/>
        </w:rPr>
      </w:pPr>
      <w:r>
        <w:rPr>
          <w:color w:val="000000"/>
        </w:rPr>
      </w:r>
    </w:p>
    <w:p>
      <w:pPr>
        <w:pStyle w:val="Normal"/>
        <w:jc w:val="both"/>
        <w:rPr>
          <w:color w:val="000000"/>
        </w:rPr>
      </w:pPr>
      <w:r>
        <w:rPr>
          <w:color w:val="000000"/>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color w:val="000000"/>
        </w:rPr>
      </w:pPr>
      <w:r>
        <w:rPr>
          <w:color w:val="000000"/>
        </w:rPr>
      </w:r>
    </w:p>
    <w:p>
      <w:pPr>
        <w:pStyle w:val="Normal"/>
        <w:jc w:val="both"/>
        <w:rPr/>
      </w:pPr>
      <w:r>
        <w:rPr>
          <w:color w:val="000000"/>
        </w:rPr>
        <w:tab/>
        <w:t xml:space="preserve">1.  </w:t>
      </w:r>
      <w:r>
        <w:rPr>
          <w:color w:val="000000"/>
          <w:u w:val="single"/>
        </w:rPr>
        <w:t>Certain Definitions</w:t>
      </w:r>
      <w:r>
        <w:rPr>
          <w:color w:val="000000"/>
        </w:rPr>
        <w:t>.  As used herein:</w:t>
      </w:r>
    </w:p>
    <w:p>
      <w:pPr>
        <w:pStyle w:val="Normal"/>
        <w:jc w:val="both"/>
        <w:rPr>
          <w:color w:val="000000"/>
        </w:rPr>
      </w:pPr>
      <w:r>
        <w:rPr>
          <w:color w:val="000000"/>
        </w:rPr>
      </w:r>
    </w:p>
    <w:p>
      <w:pPr>
        <w:pStyle w:val="Normal"/>
        <w:tabs>
          <w:tab w:val="left" w:pos="720" w:leader="none"/>
        </w:tabs>
        <w:ind w:hanging="1440" w:start="1440" w:end="0"/>
        <w:jc w:val="both"/>
        <w:rPr/>
      </w:pPr>
      <w:r>
        <w:rPr>
          <w:i/>
          <w:color w:val="000000"/>
        </w:rPr>
        <w:tab/>
      </w:r>
      <w:r>
        <w:rPr>
          <w:color w:val="000000"/>
        </w:rPr>
        <w:t>(a)</w:t>
        <w:tab/>
      </w:r>
      <w:r>
        <w:rPr>
          <w:i/>
          <w:color w:val="000000"/>
        </w:rPr>
        <w:t>"</w:t>
      </w:r>
      <w:r>
        <w:rPr>
          <w:i/>
          <w:color w:val="000000"/>
          <w:u w:val="single"/>
        </w:rPr>
        <w:t>Additional Amount</w:t>
      </w:r>
      <w:r>
        <w:rPr>
          <w:i/>
          <w:color w:val="000000"/>
        </w:rPr>
        <w:t>"</w:t>
      </w:r>
      <w:r>
        <w:rPr>
          <w:color w:val="000000"/>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color w:val="000000"/>
        </w:rPr>
      </w:pPr>
      <w:r>
        <w:rPr>
          <w:color w:val="000000"/>
        </w:rPr>
      </w:r>
    </w:p>
    <w:p>
      <w:pPr>
        <w:pStyle w:val="Normal"/>
        <w:tabs>
          <w:tab w:val="left" w:pos="720" w:leader="none"/>
        </w:tabs>
        <w:ind w:hanging="1440" w:start="1440" w:end="0"/>
        <w:jc w:val="both"/>
        <w:rPr/>
      </w:pPr>
      <w:r>
        <w:rPr>
          <w:color w:val="000000"/>
        </w:rPr>
        <w:tab/>
        <w:t>(b)</w:t>
        <w:tab/>
        <w:t>“</w:t>
      </w:r>
      <w:r>
        <w:rPr>
          <w:i/>
          <w:color w:val="000000"/>
          <w:u w:val="single"/>
        </w:rPr>
        <w:t>Business Day</w:t>
      </w:r>
      <w:r>
        <w:rPr>
          <w:color w:val="00000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color w:val="000000"/>
        </w:rPr>
      </w:pPr>
      <w:r>
        <w:rPr>
          <w:color w:val="000000"/>
        </w:rPr>
        <w:t xml:space="preserve"> </w:t>
      </w:r>
    </w:p>
    <w:p>
      <w:pPr>
        <w:pStyle w:val="Normal"/>
        <w:tabs>
          <w:tab w:val="left" w:pos="720" w:leader="none"/>
        </w:tabs>
        <w:ind w:hanging="1440" w:start="1440" w:end="0"/>
        <w:jc w:val="both"/>
        <w:rPr/>
      </w:pPr>
      <w:r>
        <w:rPr>
          <w:color w:val="000000"/>
        </w:rPr>
        <w:tab/>
        <w:t>(c)</w:t>
        <w:tab/>
        <w:t xml:space="preserve">The </w:t>
      </w:r>
      <w:r>
        <w:rPr>
          <w:i/>
          <w:color w:val="000000"/>
        </w:rPr>
        <w:t>"</w:t>
      </w:r>
      <w:r>
        <w:rPr>
          <w:i/>
          <w:color w:val="000000"/>
          <w:u w:val="single"/>
        </w:rPr>
        <w:t>Collateral Requirement</w:t>
      </w:r>
      <w:r>
        <w:rPr>
          <w:i/>
          <w:color w:val="000000"/>
        </w:rPr>
        <w:t>"</w:t>
      </w:r>
      <w:r>
        <w:rPr>
          <w:color w:val="000000"/>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color w:val="000000"/>
        </w:rPr>
      </w:pPr>
      <w:r>
        <w:rPr>
          <w:color w:val="000000"/>
        </w:rPr>
      </w:r>
    </w:p>
    <w:p>
      <w:pPr>
        <w:pStyle w:val="Normal"/>
        <w:tabs>
          <w:tab w:val="left" w:pos="720" w:leader="none"/>
        </w:tabs>
        <w:ind w:hanging="1440" w:start="1440" w:end="0"/>
        <w:jc w:val="both"/>
        <w:rPr/>
      </w:pPr>
      <w:r>
        <w:rPr>
          <w:color w:val="000000"/>
        </w:rPr>
        <w:tab/>
        <w:t>(d)</w:t>
        <w:tab/>
        <w:t xml:space="preserve">The </w:t>
      </w:r>
      <w:r>
        <w:rPr>
          <w:i/>
          <w:color w:val="000000"/>
        </w:rPr>
        <w:t>"</w:t>
      </w:r>
      <w:r>
        <w:rPr>
          <w:i/>
          <w:color w:val="000000"/>
          <w:u w:val="single"/>
        </w:rPr>
        <w:t>Current Value</w:t>
      </w:r>
      <w:r>
        <w:rPr>
          <w:i/>
          <w:color w:val="000000"/>
        </w:rPr>
        <w:t>"</w:t>
      </w:r>
      <w:r>
        <w:rPr>
          <w:color w:val="00000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color w:val="000000"/>
        </w:rPr>
        <w:tab/>
        <w:t>(e)</w:t>
        <w:tab/>
      </w:r>
      <w:r>
        <w:rPr>
          <w:i/>
          <w:color w:val="000000"/>
        </w:rPr>
        <w:t>"</w:t>
      </w:r>
      <w:r>
        <w:rPr>
          <w:i/>
          <w:color w:val="000000"/>
          <w:u w:val="single"/>
        </w:rPr>
        <w:t>Exposure</w:t>
      </w:r>
      <w:r>
        <w:rPr>
          <w:i/>
          <w:color w:val="000000"/>
        </w:rPr>
        <w:t>"</w:t>
      </w:r>
      <w:r>
        <w:rPr>
          <w:color w:val="00000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color w:val="000000"/>
        </w:rPr>
      </w:pPr>
      <w:r>
        <w:rPr>
          <w:color w:val="00000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color w:val="000000"/>
        </w:rPr>
      </w:pPr>
      <w:r>
        <w:rPr>
          <w:color w:val="00000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color w:val="000000"/>
        </w:rPr>
        <w:t>(f)</w:t>
        <w:tab/>
      </w:r>
      <w:r>
        <w:rPr>
          <w:i/>
          <w:color w:val="000000"/>
        </w:rPr>
        <w:t>"</w:t>
      </w:r>
      <w:r>
        <w:rPr>
          <w:i/>
          <w:color w:val="000000"/>
          <w:u w:val="single"/>
        </w:rPr>
        <w:t>Exposure Threshold</w:t>
      </w:r>
      <w:r>
        <w:rPr>
          <w:i/>
          <w:color w:val="000000"/>
        </w:rPr>
        <w:t>"</w:t>
      </w:r>
      <w:r>
        <w:rPr>
          <w:color w:val="000000"/>
        </w:rPr>
        <w:t xml:space="preserve"> shall mean, with respect to (i) ENA, U.S. $10,000,000 and (ii) Counterparty, U.S. $750,000;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color w:val="000000"/>
          <w:u w:val="single"/>
        </w:rPr>
        <w:t>Potential Event of Default</w:t>
      </w:r>
      <w:r>
        <w:rPr>
          <w:color w:val="000000"/>
        </w:rPr>
        <w:t>”)) with respect to such party.  The Exposure Threshold assigned to a party shall be the threshold applied to such party for all Swaps.</w:t>
      </w:r>
    </w:p>
    <w:p>
      <w:pPr>
        <w:pStyle w:val="Normal"/>
        <w:tabs>
          <w:tab w:val="left" w:pos="720" w:leader="none"/>
        </w:tabs>
        <w:ind w:hanging="1440" w:start="1440" w:end="0"/>
        <w:jc w:val="both"/>
        <w:rPr>
          <w:color w:val="000000"/>
        </w:rPr>
      </w:pPr>
      <w:r>
        <w:rPr>
          <w:color w:val="000000"/>
        </w:rPr>
      </w:r>
    </w:p>
    <w:p>
      <w:pPr>
        <w:pStyle w:val="Normal"/>
        <w:tabs>
          <w:tab w:val="left" w:pos="720" w:leader="none"/>
        </w:tabs>
        <w:ind w:hanging="1440" w:start="1440" w:end="0"/>
        <w:jc w:val="both"/>
        <w:rPr/>
      </w:pPr>
      <w:r>
        <w:rPr>
          <w:color w:val="000000"/>
        </w:rPr>
        <w:tab/>
        <w:t>(g)</w:t>
        <w:tab/>
      </w:r>
      <w:r>
        <w:rPr>
          <w:i/>
          <w:color w:val="000000"/>
        </w:rPr>
        <w:t>"</w:t>
      </w:r>
      <w:r>
        <w:rPr>
          <w:i/>
          <w:color w:val="000000"/>
          <w:u w:val="single"/>
        </w:rPr>
        <w:t>Exposure Amount</w:t>
      </w:r>
      <w:r>
        <w:rPr>
          <w:i/>
          <w:color w:val="000000"/>
        </w:rPr>
        <w:t>"</w:t>
      </w:r>
      <w:r>
        <w:rPr>
          <w:color w:val="000000"/>
        </w:rPr>
        <w:t xml:space="preserve"> for each party shall be calculated for all Swaps by calculating each party's Exposure to the other party in respect of all Swaps.  The party having the greater Exposure Amount at any time (the </w:t>
      </w:r>
      <w:r>
        <w:rPr>
          <w:i/>
          <w:color w:val="000000"/>
        </w:rPr>
        <w:t>"</w:t>
      </w:r>
      <w:r>
        <w:rPr>
          <w:i/>
          <w:color w:val="000000"/>
          <w:u w:val="single"/>
        </w:rPr>
        <w:t>Exposed Party</w:t>
      </w:r>
      <w:r>
        <w:rPr>
          <w:i/>
          <w:color w:val="000000"/>
        </w:rPr>
        <w:t>"</w:t>
      </w:r>
      <w:r>
        <w:rPr>
          <w:color w:val="000000"/>
        </w:rPr>
        <w:t xml:space="preserve">) shall be deemed to have a "Net Exposure" to the other party (the </w:t>
      </w:r>
      <w:r>
        <w:rPr>
          <w:i/>
          <w:color w:val="000000"/>
        </w:rPr>
        <w:t>"</w:t>
      </w:r>
      <w:r>
        <w:rPr>
          <w:i/>
          <w:color w:val="000000"/>
          <w:u w:val="single"/>
        </w:rPr>
        <w:t>Non-Exposed Party</w:t>
      </w:r>
      <w:r>
        <w:rPr>
          <w:i/>
          <w:color w:val="000000"/>
        </w:rPr>
        <w:t>"</w:t>
      </w:r>
      <w:r>
        <w:rPr>
          <w:color w:val="000000"/>
        </w:rPr>
        <w:t>) equal to the difference between its Exposure Amount and the other party's Exposure Amount.</w:t>
      </w:r>
    </w:p>
    <w:p>
      <w:pPr>
        <w:pStyle w:val="Normal"/>
        <w:tabs>
          <w:tab w:val="left" w:pos="720" w:leader="none"/>
        </w:tabs>
        <w:ind w:hanging="1440" w:start="1440" w:end="0"/>
        <w:jc w:val="both"/>
        <w:rPr>
          <w:color w:val="000000"/>
        </w:rPr>
      </w:pPr>
      <w:r>
        <w:rPr>
          <w:color w:val="000000"/>
        </w:rPr>
      </w:r>
    </w:p>
    <w:p>
      <w:pPr>
        <w:pStyle w:val="Normal"/>
        <w:tabs>
          <w:tab w:val="left" w:pos="720" w:leader="none"/>
        </w:tabs>
        <w:ind w:hanging="1440" w:start="1440" w:end="0"/>
        <w:jc w:val="both"/>
        <w:rPr/>
      </w:pPr>
      <w:r>
        <w:rPr>
          <w:color w:val="000000"/>
        </w:rPr>
        <w:tab/>
        <w:t>(h)</w:t>
        <w:tab/>
        <w:t>"</w:t>
      </w:r>
      <w:r>
        <w:rPr>
          <w:i/>
          <w:color w:val="000000"/>
          <w:u w:val="single"/>
        </w:rPr>
        <w:t>Interest Amount</w:t>
      </w:r>
      <w:r>
        <w:rPr>
          <w:color w:val="00000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color w:val="000000"/>
          <w:u w:val="single"/>
        </w:rPr>
        <w:t>Interest Period</w:t>
      </w:r>
      <w:r>
        <w:rPr>
          <w:color w:val="00000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color w:val="000000"/>
          <w:u w:val="single"/>
        </w:rPr>
        <w:t>Interest Rate</w:t>
      </w:r>
      <w:r>
        <w:rPr>
          <w:color w:val="000000"/>
        </w:rPr>
        <w:t>" shall be the Federal Funds Overnight Rate as from time to time in effect.  "</w:t>
      </w:r>
      <w:r>
        <w:rPr>
          <w:i/>
          <w:color w:val="000000"/>
          <w:u w:val="single"/>
        </w:rPr>
        <w:t>Federal Funds Overnight Rate</w:t>
      </w:r>
      <w:r>
        <w:rPr>
          <w:color w:val="00000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color w:val="000000"/>
        </w:rPr>
      </w:pPr>
      <w:r>
        <w:rPr>
          <w:color w:val="000000"/>
        </w:rPr>
      </w:r>
    </w:p>
    <w:p>
      <w:pPr>
        <w:pStyle w:val="Normal"/>
        <w:tabs>
          <w:tab w:val="left" w:pos="720" w:leader="none"/>
        </w:tabs>
        <w:ind w:hanging="720" w:start="1440" w:end="0"/>
        <w:jc w:val="both"/>
        <w:rPr/>
      </w:pPr>
      <w:r>
        <w:rPr>
          <w:color w:val="000000"/>
        </w:rPr>
        <w:t>(i)</w:t>
        <w:tab/>
      </w:r>
      <w:r>
        <w:rPr>
          <w:i/>
          <w:color w:val="000000"/>
        </w:rPr>
        <w:t>“</w:t>
      </w:r>
      <w:r>
        <w:rPr>
          <w:i/>
          <w:color w:val="000000"/>
          <w:u w:val="single"/>
        </w:rPr>
        <w:t>Letter of Credit Default</w:t>
      </w:r>
      <w:r>
        <w:rPr>
          <w:i/>
          <w:color w:val="000000"/>
        </w:rPr>
        <w:t>”</w:t>
      </w:r>
      <w:r>
        <w:rPr>
          <w:color w:val="000000"/>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color w:val="000000"/>
          <w:u w:val="single"/>
        </w:rPr>
      </w:pPr>
      <w:r>
        <w:rPr>
          <w:b/>
          <w:color w:val="000000"/>
          <w:u w:val="single"/>
        </w:rPr>
      </w:r>
    </w:p>
    <w:p>
      <w:pPr>
        <w:pStyle w:val="Normal"/>
        <w:ind w:start="720" w:end="0"/>
        <w:jc w:val="both"/>
        <w:rPr/>
      </w:pPr>
      <w:r>
        <w:rPr>
          <w:color w:val="000000"/>
        </w:rPr>
        <w:t>(j)</w:t>
        <w:tab/>
        <w:t>“</w:t>
      </w:r>
      <w:r>
        <w:rPr>
          <w:i/>
          <w:color w:val="000000"/>
          <w:u w:val="single"/>
        </w:rPr>
        <w:t>Moody’s</w:t>
      </w:r>
      <w:r>
        <w:rPr>
          <w:color w:val="000000"/>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color w:val="000000"/>
          <w:u w:val="single"/>
        </w:rPr>
      </w:pPr>
      <w:r>
        <w:rPr>
          <w:b/>
          <w:color w:val="000000"/>
          <w:u w:val="single"/>
        </w:rPr>
      </w:r>
    </w:p>
    <w:p>
      <w:pPr>
        <w:pStyle w:val="Normal"/>
        <w:ind w:hanging="720" w:start="1440" w:end="0"/>
        <w:jc w:val="both"/>
        <w:rPr/>
      </w:pPr>
      <w:r>
        <w:rPr>
          <w:color w:val="000000"/>
        </w:rPr>
        <w:t>(k)</w:t>
        <w:tab/>
        <w:t>"</w:t>
      </w:r>
      <w:r>
        <w:rPr>
          <w:i/>
          <w:color w:val="000000"/>
          <w:u w:val="single"/>
        </w:rPr>
        <w:t>Performance Assurance</w:t>
      </w:r>
      <w:r>
        <w:rPr>
          <w:color w:val="000000"/>
        </w:rPr>
        <w:t xml:space="preserve">" means (i) one or more irrevocable, transferable standby letters of credit (each a </w:t>
      </w:r>
      <w:r>
        <w:rPr>
          <w:i/>
          <w:color w:val="000000"/>
        </w:rPr>
        <w:t>"</w:t>
      </w:r>
      <w:r>
        <w:rPr>
          <w:i/>
          <w:color w:val="000000"/>
          <w:u w:val="single"/>
        </w:rPr>
        <w:t>Letter of Credit</w:t>
      </w:r>
      <w:r>
        <w:rPr>
          <w:i/>
          <w:color w:val="000000"/>
        </w:rPr>
        <w:t>"</w:t>
      </w:r>
      <w:r>
        <w:rPr>
          <w:color w:val="000000"/>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color w:val="000000"/>
          <w:u w:val="single"/>
        </w:rPr>
        <w:t>Schedule 1</w:t>
      </w:r>
      <w:r>
        <w:rPr>
          <w:color w:val="000000"/>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color w:val="000000"/>
        </w:rPr>
      </w:pPr>
      <w:r>
        <w:rPr>
          <w:color w:val="000000"/>
        </w:rPr>
      </w:r>
    </w:p>
    <w:p>
      <w:pPr>
        <w:pStyle w:val="Normal"/>
        <w:ind w:start="720" w:end="0"/>
        <w:jc w:val="both"/>
        <w:rPr/>
      </w:pPr>
      <w:r>
        <w:rPr>
          <w:color w:val="000000"/>
        </w:rPr>
        <w:t>(l)</w:t>
        <w:tab/>
        <w:t>“</w:t>
      </w:r>
      <w:r>
        <w:rPr>
          <w:i/>
          <w:color w:val="000000"/>
          <w:u w:val="single"/>
        </w:rPr>
        <w:t>S&amp;P”</w:t>
      </w:r>
      <w:r>
        <w:rPr>
          <w:color w:val="000000"/>
        </w:rPr>
        <w:t xml:space="preserve"> means the Standard &amp; Poor’s Rating Group (a division of McGraw-Hill, Inc.) or its successor.</w:t>
      </w:r>
    </w:p>
    <w:p>
      <w:pPr>
        <w:pStyle w:val="Normal"/>
        <w:tabs>
          <w:tab w:val="left" w:pos="720" w:leader="none"/>
        </w:tabs>
        <w:ind w:hanging="1440" w:start="1440" w:end="0"/>
        <w:jc w:val="both"/>
        <w:rPr>
          <w:color w:val="000000"/>
        </w:rPr>
      </w:pPr>
      <w:r>
        <w:rPr>
          <w:color w:val="000000"/>
        </w:rPr>
      </w:r>
    </w:p>
    <w:p>
      <w:pPr>
        <w:pStyle w:val="Normal"/>
        <w:tabs>
          <w:tab w:val="left" w:pos="720" w:leader="none"/>
        </w:tabs>
        <w:ind w:hanging="1440" w:start="1440" w:end="0"/>
        <w:jc w:val="both"/>
        <w:rPr/>
      </w:pPr>
      <w:r>
        <w:rPr>
          <w:color w:val="000000"/>
        </w:rPr>
        <w:tab/>
        <w:t>(m)</w:t>
        <w:tab/>
      </w:r>
      <w:r>
        <w:rPr>
          <w:i/>
          <w:color w:val="000000"/>
        </w:rPr>
        <w:t>"</w:t>
      </w:r>
      <w:r>
        <w:rPr>
          <w:i/>
          <w:color w:val="000000"/>
          <w:u w:val="single"/>
        </w:rPr>
        <w:t>Swaps</w:t>
      </w:r>
      <w:r>
        <w:rPr>
          <w:i/>
          <w:color w:val="000000"/>
        </w:rPr>
        <w:t>"</w:t>
      </w:r>
      <w:r>
        <w:rPr>
          <w:color w:val="00000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color w:val="000000"/>
          <w:u w:val="single"/>
        </w:rPr>
        <w:t>Swap</w:t>
      </w:r>
      <w:r>
        <w:rPr>
          <w:color w:val="000000"/>
        </w:rPr>
        <w:t>" shall mean any of the Swaps.</w:t>
      </w:r>
    </w:p>
    <w:p>
      <w:pPr>
        <w:pStyle w:val="Normal"/>
        <w:spacing w:before="240" w:after="0"/>
        <w:ind w:hanging="720" w:start="1440" w:end="0"/>
        <w:jc w:val="both"/>
        <w:rPr/>
      </w:pPr>
      <w:r>
        <w:rPr>
          <w:color w:val="000000"/>
        </w:rPr>
        <w:t>(n)</w:t>
        <w:tab/>
        <w:t>"</w:t>
      </w:r>
      <w:r>
        <w:rPr>
          <w:color w:val="000000"/>
          <w:u w:val="single"/>
        </w:rPr>
        <w:t>Transfer</w:t>
      </w:r>
      <w:r>
        <w:rPr>
          <w:color w:val="000000"/>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color w:val="000000"/>
        </w:rPr>
      </w:pPr>
      <w:r>
        <w:rPr>
          <w:i/>
          <w:color w:val="000000"/>
        </w:rPr>
      </w:r>
    </w:p>
    <w:p>
      <w:pPr>
        <w:pStyle w:val="Normal"/>
        <w:tabs>
          <w:tab w:val="left" w:pos="720" w:leader="none"/>
        </w:tabs>
        <w:ind w:hanging="720" w:start="1440" w:end="0"/>
        <w:jc w:val="both"/>
        <w:rPr/>
      </w:pPr>
      <w:r>
        <w:rPr>
          <w:color w:val="000000"/>
        </w:rPr>
        <w:t>(o)</w:t>
        <w:tab/>
      </w:r>
      <w:r>
        <w:rPr>
          <w:i/>
          <w:color w:val="000000"/>
        </w:rPr>
        <w:t>"</w:t>
      </w:r>
      <w:r>
        <w:rPr>
          <w:i/>
          <w:color w:val="000000"/>
          <w:u w:val="single"/>
        </w:rPr>
        <w:t>Valuation Percentage</w:t>
      </w:r>
      <w:r>
        <w:rPr>
          <w:i/>
          <w:color w:val="000000"/>
        </w:rPr>
        <w:t>”</w:t>
      </w:r>
      <w:r>
        <w:rPr>
          <w:color w:val="000000"/>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color w:val="000000"/>
        </w:rPr>
      </w:pPr>
      <w:r>
        <w:rPr>
          <w:color w:val="000000"/>
        </w:rPr>
      </w:r>
    </w:p>
    <w:p>
      <w:pPr>
        <w:pStyle w:val="Normal"/>
        <w:tabs>
          <w:tab w:val="left" w:pos="720" w:leader="none"/>
        </w:tabs>
        <w:ind w:hanging="1440" w:start="1440" w:end="0"/>
        <w:jc w:val="both"/>
        <w:rPr>
          <w:color w:val="000000"/>
        </w:rPr>
      </w:pPr>
      <w:r>
        <w:rPr>
          <w:color w:val="000000"/>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color w:val="000000"/>
        </w:rPr>
      </w:pPr>
      <w:r>
        <w:rPr>
          <w:color w:val="000000"/>
        </w:rPr>
      </w:r>
    </w:p>
    <w:p>
      <w:pPr>
        <w:pStyle w:val="Normal"/>
        <w:jc w:val="both"/>
        <w:rPr/>
      </w:pPr>
      <w:r>
        <w:rPr>
          <w:color w:val="000000"/>
        </w:rPr>
        <w:tab/>
        <w:t xml:space="preserve">2.  </w:t>
      </w:r>
      <w:r>
        <w:rPr>
          <w:color w:val="000000"/>
          <w:u w:val="single"/>
        </w:rPr>
        <w:t>Performance Assurance</w:t>
      </w:r>
      <w:r>
        <w:rPr>
          <w:color w:val="000000"/>
        </w:rPr>
        <w:t>.</w:t>
      </w:r>
    </w:p>
    <w:p>
      <w:pPr>
        <w:pStyle w:val="Normal"/>
        <w:jc w:val="both"/>
        <w:rPr>
          <w:color w:val="000000"/>
        </w:rPr>
      </w:pPr>
      <w:r>
        <w:rPr>
          <w:color w:val="000000"/>
        </w:rPr>
      </w:r>
    </w:p>
    <w:p>
      <w:pPr>
        <w:pStyle w:val="Normal"/>
        <w:ind w:hanging="720" w:start="1440" w:end="0"/>
        <w:jc w:val="both"/>
        <w:rPr>
          <w:b/>
          <w:color w:val="000000"/>
        </w:rPr>
      </w:pPr>
      <w:r>
        <w:rPr>
          <w:color w:val="000000"/>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color w:val="000000"/>
          <w:u w:val="single"/>
        </w:rPr>
        <w:t>provided, however</w:t>
      </w:r>
      <w:r>
        <w:rPr>
          <w:color w:val="000000"/>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color w:val="000000"/>
        </w:rPr>
        <w:t xml:space="preserve">3.  </w:t>
      </w:r>
      <w:r>
        <w:rPr>
          <w:color w:val="000000"/>
          <w:u w:val="single"/>
        </w:rPr>
        <w:t>Cash Collateral</w:t>
      </w:r>
      <w:r>
        <w:rPr>
          <w:color w:val="000000"/>
        </w:rPr>
        <w:t>.  Performance Assurance in the form of United States Dollars (“Cash”) shall be subject to the following provisions:</w:t>
      </w:r>
    </w:p>
    <w:p>
      <w:pPr>
        <w:pStyle w:val="Normal"/>
        <w:jc w:val="both"/>
        <w:rPr>
          <w:color w:val="000000"/>
        </w:rPr>
      </w:pPr>
      <w:r>
        <w:rPr>
          <w:color w:val="000000"/>
        </w:rPr>
      </w:r>
    </w:p>
    <w:p>
      <w:pPr>
        <w:pStyle w:val="Normal"/>
        <w:tabs>
          <w:tab w:val="left" w:pos="720" w:leader="none"/>
        </w:tabs>
        <w:ind w:hanging="720" w:start="1440" w:end="0"/>
        <w:jc w:val="both"/>
        <w:rPr>
          <w:color w:val="000000"/>
        </w:rPr>
      </w:pPr>
      <w:r>
        <w:rPr>
          <w:color w:val="00000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color w:val="000000"/>
        </w:rPr>
      </w:pPr>
      <w:r>
        <w:rPr>
          <w:color w:val="000000"/>
        </w:rPr>
      </w:r>
    </w:p>
    <w:p>
      <w:pPr>
        <w:pStyle w:val="BodyTextIndent2"/>
        <w:rPr>
          <w:color w:val="000000"/>
          <w:sz w:val="20"/>
        </w:rPr>
      </w:pPr>
      <w:r>
        <w:rPr>
          <w:color w:val="000000"/>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color w:val="000000"/>
        </w:rPr>
      </w:pPr>
      <w:r>
        <w:rPr>
          <w:color w:val="00000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color w:val="000000"/>
        </w:rPr>
      </w:pPr>
      <w:r>
        <w:rPr>
          <w:color w:val="000000"/>
        </w:rPr>
      </w:r>
    </w:p>
    <w:p>
      <w:pPr>
        <w:pStyle w:val="Normal"/>
        <w:ind w:start="720" w:end="0"/>
        <w:jc w:val="both"/>
        <w:rPr/>
      </w:pPr>
      <w:r>
        <w:rPr>
          <w:color w:val="000000"/>
        </w:rPr>
        <w:t xml:space="preserve">4.  </w:t>
      </w:r>
      <w:r>
        <w:rPr>
          <w:color w:val="000000"/>
          <w:u w:val="single"/>
        </w:rPr>
        <w:t>Letters of Credit</w:t>
      </w:r>
      <w:r>
        <w:rPr>
          <w:color w:val="000000"/>
        </w:rPr>
        <w:t>.  Performance Assurance in the form of a Letter of Credit shall be subject to the following provisions:</w:t>
      </w:r>
    </w:p>
    <w:p>
      <w:pPr>
        <w:pStyle w:val="Normal"/>
        <w:tabs>
          <w:tab w:val="left" w:pos="720" w:leader="none"/>
        </w:tabs>
        <w:ind w:hanging="72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color w:val="000000"/>
        </w:rPr>
      </w:pPr>
      <w:r>
        <w:rPr>
          <w:color w:val="000000"/>
        </w:rPr>
      </w:r>
    </w:p>
    <w:p>
      <w:pPr>
        <w:pStyle w:val="Normal"/>
        <w:tabs>
          <w:tab w:val="left" w:pos="720" w:leader="none"/>
        </w:tabs>
        <w:ind w:hanging="720" w:start="1440" w:end="0"/>
        <w:jc w:val="both"/>
        <w:rPr/>
      </w:pPr>
      <w:r>
        <w:rPr>
          <w:color w:val="000000"/>
        </w:rPr>
        <w:t>(b)</w:t>
        <w:tab/>
        <w:t>Upon the occurrence of a Letter of Credit Default, the Non-Exposed Party agrees to deliver substitute Performance Assurance to the Exposed Party on or before the second Business Day after the occurrence thereof (or the fifth (5</w:t>
      </w:r>
      <w:r>
        <w:rPr>
          <w:color w:val="000000"/>
          <w:vertAlign w:val="superscript"/>
        </w:rPr>
        <w:t>th</w:t>
      </w:r>
      <w:r>
        <w:rPr>
          <w:color w:val="000000"/>
        </w:rPr>
        <w:t>) Business Day after the occurrence thereof if only clause (i) under the definition of Letter of Credit Default applies).</w:t>
      </w:r>
    </w:p>
    <w:p>
      <w:pPr>
        <w:pStyle w:val="Normal"/>
        <w:tabs>
          <w:tab w:val="left" w:pos="720" w:leader="none"/>
        </w:tabs>
        <w:ind w:firstLine="9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color w:val="000000"/>
        </w:rPr>
      </w:pPr>
      <w:r>
        <w:rPr>
          <w:color w:val="000000"/>
        </w:rPr>
      </w:r>
    </w:p>
    <w:p>
      <w:pPr>
        <w:pStyle w:val="Normal"/>
        <w:tabs>
          <w:tab w:val="clear" w:pos="720"/>
          <w:tab w:val="left" w:pos="1440" w:leader="none"/>
        </w:tabs>
        <w:ind w:hanging="630" w:start="1440" w:end="0"/>
        <w:jc w:val="both"/>
        <w:rPr>
          <w:color w:val="000000"/>
        </w:rPr>
      </w:pPr>
      <w:r>
        <w:rPr>
          <w:color w:val="000000"/>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color w:val="000000"/>
        </w:rPr>
      </w:pPr>
      <w:r>
        <w:rPr>
          <w:color w:val="000000"/>
        </w:rPr>
      </w:r>
    </w:p>
    <w:p>
      <w:pPr>
        <w:pStyle w:val="Normal"/>
        <w:tabs>
          <w:tab w:val="left" w:pos="720" w:leader="none"/>
        </w:tabs>
        <w:ind w:hanging="720" w:start="1440" w:end="0"/>
        <w:jc w:val="both"/>
        <w:rPr>
          <w:color w:val="000000"/>
        </w:rPr>
      </w:pPr>
      <w:r>
        <w:rPr>
          <w:color w:val="000000"/>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color w:val="000000"/>
        </w:rPr>
      </w:pPr>
      <w:r>
        <w:rPr>
          <w:color w:val="000000"/>
        </w:rPr>
      </w:r>
    </w:p>
    <w:p>
      <w:pPr>
        <w:pStyle w:val="Normal"/>
        <w:jc w:val="both"/>
        <w:rPr/>
      </w:pPr>
      <w:r>
        <w:rPr>
          <w:color w:val="000000"/>
        </w:rPr>
        <w:tab/>
        <w:t xml:space="preserve">5.  </w:t>
      </w:r>
      <w:r>
        <w:rPr>
          <w:color w:val="000000"/>
          <w:u w:val="single"/>
        </w:rPr>
        <w:t>Additional Representation</w:t>
      </w:r>
      <w:r>
        <w:rPr>
          <w:color w:val="000000"/>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color w:val="000000"/>
        </w:rPr>
        <w:tab/>
        <w:tab/>
        <w:t xml:space="preserve">6.  </w:t>
      </w:r>
      <w:r>
        <w:rPr>
          <w:color w:val="000000"/>
          <w:u w:val="single"/>
        </w:rPr>
        <w:t>Exposed Party’s Rights and Remedies</w:t>
      </w:r>
      <w:r>
        <w:rPr>
          <w:color w:val="00000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color w:val="000000"/>
        </w:rPr>
        <w:tab/>
        <w:tab/>
        <w:t xml:space="preserve">7.  </w:t>
      </w:r>
      <w:r>
        <w:rPr>
          <w:color w:val="000000"/>
          <w:u w:val="single"/>
        </w:rPr>
        <w:t>Security Interest</w:t>
      </w:r>
      <w:r>
        <w:rPr>
          <w:color w:val="000000"/>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color w:val="000000"/>
        </w:rPr>
        <w:t xml:space="preserve">8.  </w:t>
      </w:r>
      <w:r>
        <w:rPr>
          <w:color w:val="000000"/>
          <w:u w:val="single"/>
        </w:rPr>
        <w:t>General.</w:t>
      </w:r>
    </w:p>
    <w:p>
      <w:pPr>
        <w:pStyle w:val="Normal"/>
        <w:spacing w:before="240" w:after="0"/>
        <w:ind w:hanging="720" w:start="1440" w:end="0"/>
        <w:jc w:val="both"/>
        <w:rPr>
          <w:color w:val="000000"/>
        </w:rPr>
      </w:pPr>
      <w:r>
        <w:rPr>
          <w:color w:val="00000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color w:val="000000"/>
        </w:rPr>
      </w:pPr>
      <w:r>
        <w:rPr>
          <w:color w:val="00000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color w:val="000000"/>
        </w:rPr>
      </w:pPr>
      <w:r>
        <w:rPr>
          <w:color w:val="00000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10"/>
          <w:footerReference w:type="first" r:id="rId11"/>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color w:val="000000"/>
        </w:rPr>
      </w:pPr>
      <w:r>
        <w:rPr>
          <w:color w:val="00000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color w:val="000000"/>
        </w:rPr>
      </w:pPr>
      <w:r>
        <w:rPr>
          <w:b/>
          <w:color w:val="000000"/>
          <w:u w:val="single"/>
        </w:rPr>
        <w:t>SCHEDULE 1</w:t>
      </w:r>
    </w:p>
    <w:p>
      <w:pPr>
        <w:pStyle w:val="Normal"/>
        <w:jc w:val="center"/>
        <w:rPr>
          <w:color w:val="000000"/>
        </w:rPr>
      </w:pPr>
      <w:r>
        <w:rPr>
          <w:color w:val="000000"/>
        </w:rPr>
      </w:r>
    </w:p>
    <w:p>
      <w:pPr>
        <w:pStyle w:val="Normal"/>
        <w:jc w:val="center"/>
        <w:rPr>
          <w:color w:val="000000"/>
        </w:rPr>
      </w:pPr>
      <w:r>
        <w:rPr>
          <w:color w:val="000000"/>
        </w:rPr>
        <w:t>IRREVOCABLE TRANSFERABLE STANDBY LETTER OF CREDIT FORMAT</w:t>
      </w:r>
    </w:p>
    <w:p>
      <w:pPr>
        <w:pStyle w:val="Normal"/>
        <w:jc w:val="center"/>
        <w:rPr>
          <w:color w:val="000000"/>
        </w:rPr>
      </w:pPr>
      <w:r>
        <w:rPr>
          <w:color w:val="000000"/>
        </w:rPr>
        <w:t xml:space="preserve">DATE OF ISSUANCE:  </w:t>
      </w:r>
      <w:r>
        <w:rPr>
          <w:color w:val="000000"/>
          <w:u w:val="single"/>
        </w:rPr>
        <w:tab/>
        <w:tab/>
        <w:tab/>
      </w:r>
    </w:p>
    <w:p>
      <w:pPr>
        <w:pStyle w:val="Normal"/>
        <w:rPr>
          <w:color w:val="000000"/>
        </w:rPr>
      </w:pPr>
      <w:r>
        <w:rPr>
          <w:color w:val="000000"/>
        </w:rPr>
        <w:t>[Address]</w:t>
      </w:r>
    </w:p>
    <w:p>
      <w:pPr>
        <w:pStyle w:val="Normal"/>
        <w:rPr>
          <w:color w:val="000000"/>
        </w:rPr>
      </w:pPr>
      <w:r>
        <w:rPr>
          <w:color w:val="000000"/>
        </w:rPr>
        <w:tab/>
        <w:t>Re:  Credit No. _______________</w:t>
      </w:r>
    </w:p>
    <w:p>
      <w:pPr>
        <w:pStyle w:val="Normal"/>
        <w:rPr>
          <w:color w:val="000000"/>
        </w:rPr>
      </w:pPr>
      <w:r>
        <w:rPr>
          <w:color w:val="000000"/>
        </w:rPr>
      </w:r>
    </w:p>
    <w:p>
      <w:pPr>
        <w:pStyle w:val="Normal"/>
        <w:jc w:val="both"/>
        <w:rPr/>
      </w:pPr>
      <w:r>
        <w:rPr>
          <w:color w:val="00000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u w:val="single"/>
        </w:rPr>
        <w:t>Location</w:t>
      </w:r>
      <w:r>
        <w:rPr>
          <w:color w:val="000000"/>
        </w:rPr>
        <w:t>) on or before the expiration hereof against presentation to us of one or more of  the following statements, dated and signed by a representative of the beneficiary:</w:t>
      </w:r>
    </w:p>
    <w:p>
      <w:pPr>
        <w:pStyle w:val="Normal"/>
        <w:jc w:val="both"/>
        <w:rPr>
          <w:color w:val="000000"/>
        </w:rPr>
      </w:pPr>
      <w:r>
        <w:rPr>
          <w:color w:val="000000"/>
        </w:rPr>
      </w:r>
    </w:p>
    <w:p>
      <w:pPr>
        <w:pStyle w:val="Normal"/>
        <w:numPr>
          <w:ilvl w:val="0"/>
          <w:numId w:val="5"/>
        </w:numPr>
        <w:jc w:val="both"/>
        <w:rPr>
          <w:color w:val="000000"/>
        </w:rPr>
      </w:pPr>
      <w:r>
        <w:rPr>
          <w:color w:val="000000"/>
        </w:rPr>
        <w:t>“</w:t>
      </w:r>
      <w:r>
        <w:rPr>
          <w:color w:val="000000"/>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5"/>
        </w:numPr>
        <w:jc w:val="both"/>
        <w:rPr>
          <w:color w:val="000000"/>
        </w:rPr>
      </w:pPr>
      <w:r>
        <w:rPr>
          <w:color w:val="000000"/>
        </w:rPr>
        <w:t>“</w:t>
      </w:r>
      <w:r>
        <w:rPr>
          <w:color w:val="000000"/>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color w:val="000000"/>
        </w:rPr>
      </w:pPr>
      <w:r>
        <w:rPr>
          <w:color w:val="000000"/>
        </w:rPr>
      </w:r>
    </w:p>
    <w:p>
      <w:pPr>
        <w:pStyle w:val="Normal"/>
        <w:tabs>
          <w:tab w:val="left" w:pos="720" w:leader="none"/>
        </w:tabs>
        <w:jc w:val="both"/>
        <w:rPr>
          <w:color w:val="000000"/>
        </w:rPr>
      </w:pPr>
      <w:r>
        <w:rPr>
          <w:color w:val="000000"/>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color w:val="000000"/>
        </w:rPr>
      </w:pPr>
      <w:r>
        <w:rPr>
          <w:color w:val="000000"/>
        </w:rPr>
      </w:r>
    </w:p>
    <w:p>
      <w:pPr>
        <w:pStyle w:val="Normal"/>
        <w:tabs>
          <w:tab w:val="left" w:pos="720" w:leader="none"/>
        </w:tabs>
        <w:jc w:val="both"/>
        <w:rPr>
          <w:color w:val="000000"/>
        </w:rPr>
      </w:pPr>
      <w:r>
        <w:rPr>
          <w:color w:val="000000"/>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color w:val="000000"/>
        </w:rPr>
      </w:pPr>
      <w:r>
        <w:rPr>
          <w:color w:val="000000"/>
        </w:rPr>
      </w:r>
    </w:p>
    <w:p>
      <w:pPr>
        <w:pStyle w:val="Normal"/>
        <w:tabs>
          <w:tab w:val="left" w:pos="720" w:leader="none"/>
        </w:tabs>
        <w:jc w:val="both"/>
        <w:rPr>
          <w:color w:val="000000"/>
        </w:rPr>
      </w:pPr>
      <w:r>
        <w:rPr>
          <w:color w:val="000000"/>
        </w:rPr>
        <w:tab/>
        <w:t>We hereby agree with you that documents drawn under and in compliance with the terms of this Letter of Credit shall be duly honored upon presentation as specified.</w:t>
      </w:r>
    </w:p>
    <w:p>
      <w:pPr>
        <w:pStyle w:val="Normal"/>
        <w:tabs>
          <w:tab w:val="left" w:pos="720" w:leader="none"/>
        </w:tabs>
        <w:jc w:val="both"/>
        <w:rPr>
          <w:color w:val="000000"/>
        </w:rPr>
      </w:pPr>
      <w:r>
        <w:rPr>
          <w:color w:val="000000"/>
        </w:rPr>
      </w:r>
    </w:p>
    <w:p>
      <w:pPr>
        <w:pStyle w:val="BodyText2"/>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color w:val="000000"/>
        </w:rPr>
      </w:pPr>
      <w:r>
        <w:rPr>
          <w:color w:val="000000"/>
        </w:rPr>
      </w:r>
    </w:p>
    <w:p>
      <w:pPr>
        <w:pStyle w:val="Normal"/>
        <w:tabs>
          <w:tab w:val="left" w:pos="720" w:leader="none"/>
        </w:tabs>
        <w:jc w:val="both"/>
        <w:rPr>
          <w:color w:val="000000"/>
        </w:rPr>
      </w:pPr>
      <w:r>
        <w:rPr>
          <w:color w:val="00000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color w:val="000000"/>
        </w:rPr>
      </w:pPr>
      <w:r>
        <w:rPr>
          <w:color w:val="000000"/>
        </w:rPr>
      </w:r>
    </w:p>
    <w:p>
      <w:pPr>
        <w:pStyle w:val="Normal"/>
        <w:tabs>
          <w:tab w:val="left" w:pos="720" w:leader="none"/>
        </w:tabs>
        <w:jc w:val="both"/>
        <w:rPr>
          <w:color w:val="000000"/>
        </w:rPr>
      </w:pPr>
      <w:r>
        <w:rPr>
          <w:color w:val="000000"/>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color w:val="000000"/>
        </w:rPr>
      </w:pPr>
      <w:r>
        <w:rPr>
          <w:color w:val="000000"/>
        </w:rPr>
      </w:r>
    </w:p>
    <w:p>
      <w:pPr>
        <w:pStyle w:val="Normal"/>
        <w:tabs>
          <w:tab w:val="clear" w:pos="720"/>
          <w:tab w:val="left" w:pos="4320" w:leader="none"/>
          <w:tab w:val="left" w:pos="5040" w:leader="none"/>
          <w:tab w:val="left" w:pos="5760" w:leader="none"/>
        </w:tabs>
        <w:ind w:start="5040" w:end="0"/>
        <w:rPr>
          <w:color w:val="000000"/>
        </w:rPr>
      </w:pPr>
      <w:r>
        <w:rPr>
          <w:color w:val="000000"/>
        </w:rPr>
        <w:t>[BANK SIGNATURE]</w:t>
      </w:r>
    </w:p>
    <w:p>
      <w:pPr>
        <w:sectPr>
          <w:headerReference w:type="default" r:id="rId12"/>
          <w:footerReference w:type="default" r:id="rId13"/>
          <w:footerReference w:type="first" r:id="rId14"/>
          <w:type w:val="nextPage"/>
          <w:pgSz w:w="12240" w:h="15840"/>
          <w:pgMar w:left="1728" w:right="1728" w:gutter="0" w:header="720" w:top="1440" w:footer="720" w:bottom="1440"/>
          <w:pgNumType w:fmt="decimal"/>
          <w:formProt w:val="false"/>
          <w:textDirection w:val="lrTb"/>
          <w:docGrid w:type="default" w:linePitch="360" w:charSpace="0"/>
        </w:sectPr>
        <w:pStyle w:val="Normal"/>
        <w:ind w:end="180"/>
        <w:jc w:val="center"/>
        <w:rPr>
          <w:color w:val="000000"/>
        </w:rPr>
      </w:pPr>
      <w:r>
        <w:rPr>
          <w:color w:val="000000"/>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GRUPO CALIDRA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Grupo Calidra, S.A. de C.V.</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r>
    </w:p>
    <w:p>
      <w:pPr>
        <w:pStyle w:val="Normal"/>
        <w:rPr>
          <w:sz w:val="22"/>
          <w:szCs w:val="22"/>
        </w:rPr>
      </w:pPr>
      <w:r>
        <w:rPr>
          <w:sz w:val="22"/>
          <w:szCs w:val="22"/>
        </w:rPr>
      </w:r>
    </w:p>
    <w:p>
      <w:pPr>
        <w:pStyle w:val="Normal"/>
        <w:ind w:end="180"/>
        <w:jc w:val="center"/>
        <w:rPr>
          <w:sz w:val="22"/>
          <w:szCs w:val="22"/>
        </w:rPr>
      </w:pPr>
      <w:r>
        <w:rPr>
          <w:sz w:val="22"/>
          <w:szCs w:val="22"/>
        </w:rPr>
      </w:r>
    </w:p>
    <w:sectPr>
      <w:headerReference w:type="default" r:id="rId15"/>
      <w:headerReference w:type="first" r:id="rId16"/>
      <w:footerReference w:type="default" r:id="rId17"/>
      <w:footerReference w:type="first" r:id="rId18"/>
      <w:type w:val="nextPage"/>
      <w:pgSz w:w="12240" w:h="15840"/>
      <w:pgMar w:left="1728" w:right="1728"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t>Exhibit A</w:t>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/mnt/main-storage/datasets/enron-docs/doc/157conf.doc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sz w:val="20"/>
      </w:rPr>
      <w:t>Annex B</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of 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sz w:val="16"/>
      </w:rPr>
      <w:t>Annex B-1</w:t>
    </w:r>
  </w:p>
  <w:p>
    <w:pPr>
      <w:pStyle w:val="Footer"/>
      <w:jc w:val="center"/>
      <w:rPr/>
    </w:pPr>
    <w:r>
      <w:rPr>
        <w:rStyle w:val="PageNumbe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r>
      <w:rPr>
        <w:rStyle w:val="PageNumber"/>
        <w:sz w:val="16"/>
      </w:rPr>
      <w:t xml:space="preserve"> of 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header" Target="header1.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2000-08-24T13:58:00Z</dcterms:created>
  <dc:creator>mheard</dc:creator>
  <dc:description/>
  <dc:language>en-CA</dc:language>
  <cp:lastModifiedBy>tjones</cp:lastModifiedBy>
  <cp:lastPrinted>2000-08-24T15:45:00Z</cp:lastPrinted>
  <dcterms:modified xsi:type="dcterms:W3CDTF">2000-08-24T18:51:00Z</dcterms:modified>
  <cp:revision>15</cp:revision>
  <dc:subject/>
  <dc:title>“DEEMED ISDA” CONFIRMATION</dc:title>
</cp:coreProperties>
</file>