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[ENA LETTERHEAD]</w:t>
      </w:r>
    </w:p>
    <w:p>
      <w:pPr>
        <w:pStyle w:val="Normal"/>
        <w:jc w:val="center"/>
        <w:rPr/>
      </w:pPr>
      <w:r>
        <w:rPr/>
      </w:r>
    </w:p>
    <w:p>
      <w:pPr>
        <w:pStyle w:val="Normal"/>
        <w:jc w:val="center"/>
        <w:rPr/>
      </w:pPr>
      <w:r>
        <w:rPr/>
      </w:r>
    </w:p>
    <w:p>
      <w:pPr>
        <w:pStyle w:val="Normal"/>
        <w:rPr/>
      </w:pPr>
      <w:r>
        <w:rPr/>
        <w:t>_________________, 200_</w:t>
      </w:r>
    </w:p>
    <w:p>
      <w:pPr>
        <w:pStyle w:val="Normal"/>
        <w:rPr/>
      </w:pPr>
      <w:r>
        <w:rPr/>
      </w:r>
    </w:p>
    <w:p>
      <w:pPr>
        <w:pStyle w:val="Index1"/>
        <w:rPr>
          <w:rFonts w:ascii="Times New Roman" w:hAnsi="Times New Roman" w:cs="Times New Roman"/>
        </w:rPr>
      </w:pPr>
      <w:r>
        <w:rPr>
          <w:rFonts w:cs="Times New Roman" w:ascii="Times New Roman" w:hAnsi="Times New Roman"/>
        </w:rPr>
        <w:t>Baret Alize-Euro Fund</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Baret Alize-Euro Fund (“Counterparty”) and Enron North America Corp. (“ENA”) on ____________, 200__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200__ between ___________ of ENA and ____________ of Counterparty.</w:t>
      </w:r>
    </w:p>
    <w:p>
      <w:pPr>
        <w:pStyle w:val="Normal"/>
        <w:jc w:val="both"/>
        <w:rPr/>
      </w:pPr>
      <w:r>
        <w:rPr/>
      </w:r>
    </w:p>
    <w:p>
      <w:pPr>
        <w:pStyle w:val="BodyText"/>
        <w:rPr>
          <w:color w:val="000000"/>
        </w:rPr>
      </w:pPr>
      <w:r>
        <w:rPr>
          <w:color w:val="00000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jc w:val="both"/>
        <w:rPr>
          <w:color w:val="000000"/>
        </w:rPr>
      </w:pPr>
      <w:r>
        <w:rPr>
          <w:color w:val="00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w:t>
      </w:r>
      <w:r>
        <w:rPr>
          <w:color w:val="000000"/>
        </w:rPr>
        <w:t xml:space="preserve">Confirmation constitutes a “swap agreement” within the meaning of 17 C.F.R. Section 35.1(b)(1); and (c) </w:t>
      </w:r>
      <w:r>
        <w:rPr>
          <w:color w:val="000000"/>
          <w:u w:val="single"/>
        </w:rPr>
        <w:t>Line of Business</w:t>
      </w:r>
      <w:r>
        <w:rPr>
          <w:color w:val="000000"/>
        </w:rPr>
        <w:t>:  as of the Trade Date it is:  (i) exposed in the conduct of its business to the risk of variations in weather of the kind reflected in this Transaction and (ii) entering into this Transaction solely to offset or manage that risk; (d)</w:t>
      </w:r>
      <w:r>
        <w:rPr/>
        <w:t xml:space="preserve">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(f)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color w:val="000000"/>
        </w:rPr>
      </w:pPr>
      <w:r>
        <w:rPr>
          <w:color w:val="000000"/>
        </w:rPr>
      </w:r>
    </w:p>
    <w:p>
      <w:pPr>
        <w:pStyle w:val="Normal"/>
        <w:jc w:val="both"/>
        <w:rPr/>
      </w:pPr>
      <w:r>
        <w:rPr>
          <w:color w:val="000000"/>
        </w:rPr>
        <w:t>6.</w:t>
        <w:tab/>
      </w:r>
      <w:r>
        <w:rPr>
          <w:b/>
          <w:color w:val="000000"/>
          <w:u w:val="single"/>
        </w:rPr>
        <w:t>Early Termination</w:t>
      </w:r>
      <w:r>
        <w:rPr>
          <w:b/>
          <w:color w:val="000000"/>
        </w:rPr>
        <w:t>.</w:t>
      </w:r>
      <w:r>
        <w:rPr>
          <w:color w:val="000000"/>
        </w:rPr>
        <w:t xml:space="preserve">  For purposes of Section 6(e) of the ISDA Agreement, the Second Method and Loss shall apply.</w:t>
      </w:r>
    </w:p>
    <w:p>
      <w:pPr>
        <w:pStyle w:val="Normal"/>
        <w:jc w:val="both"/>
        <w:rPr>
          <w:color w:val="000000"/>
        </w:rPr>
      </w:pPr>
      <w:r>
        <w:rPr>
          <w:color w:val="000000"/>
        </w:rPr>
      </w:r>
    </w:p>
    <w:p>
      <w:pPr>
        <w:pStyle w:val="Normal"/>
        <w:jc w:val="both"/>
        <w:rPr/>
      </w:pPr>
      <w:r>
        <w:rPr>
          <w:color w:val="000000"/>
        </w:rPr>
        <w:t>7.</w:t>
        <w:tab/>
      </w:r>
      <w:r>
        <w:rPr>
          <w:b/>
          <w:color w:val="000000"/>
          <w:u w:val="single"/>
        </w:rPr>
        <w:t>Governing Law/Jurisdiction</w:t>
      </w:r>
      <w:r>
        <w:rPr>
          <w:b/>
          <w:color w:val="000000"/>
        </w:rPr>
        <w:t>.</w:t>
      </w:r>
      <w:r>
        <w:rPr>
          <w:color w:val="000000"/>
        </w:rPr>
        <w:t xml:space="preserve">  This Confirmation and the ISDA Agreement will be governed by and construed in accordance with the laws of the State of New York (without reference to choice of law doctrine).</w:t>
      </w:r>
      <w:r>
        <w:rPr/>
        <w:t xml:space="preserv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w:t>
      </w:r>
      <w:r>
        <w:rPr>
          <w:color w:val="000000"/>
        </w:rPr>
        <w:t>The arbitration shall be conducted New York City, New York, and such arbitration, and any related award shall be</w:t>
      </w:r>
      <w:r>
        <w:rPr/>
        <w:t xml:space="preserv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rPr/>
      </w:pPr>
      <w:r>
        <w:rPr/>
        <w:t>12.</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pPr>
      <w:r>
        <w:rPr/>
        <w:t>BARET ALIZE-EURO FUND</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rPr/>
      </w:pPr>
      <w:r>
        <w:rPr/>
        <w:t>Title:</w:t>
        <w:tab/>
        <w:t>_____________________________</w:t>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Heading6"/>
        <w:ind w:hanging="0" w:start="0"/>
        <w:rPr/>
      </w:pPr>
      <w:r>
        <w:rPr/>
        <w:t>Party B:  Baret Alize-Euro Fund</w:t>
      </w:r>
    </w:p>
    <w:p>
      <w:pPr>
        <w:pStyle w:val="Normal"/>
        <w:keepNext w:val="true"/>
        <w:jc w:val="center"/>
        <w:rPr>
          <w:b/>
        </w:rPr>
      </w:pPr>
      <w:r>
        <w:rPr>
          <w:b/>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France</w:t>
      </w:r>
      <w:r>
        <w:rPr>
          <w:color w:val="FF0000"/>
        </w:rPr>
        <w:t>.</w:t>
      </w:r>
    </w:p>
    <w:p>
      <w:pPr>
        <w:pStyle w:val="Normal"/>
        <w:spacing w:lineRule="exact" w:line="240" w:before="240" w:after="0"/>
        <w:jc w:val="both"/>
        <w:rPr/>
      </w:pPr>
      <w:r>
        <w:rPr/>
        <w:t>"</w:t>
      </w:r>
      <w:r>
        <w:rPr>
          <w:b/>
        </w:rPr>
        <w:t>Specified Jurisdiction</w:t>
      </w:r>
      <w:r>
        <w:rPr/>
        <w:t>" means, with respect to Party A, France</w:t>
      </w:r>
      <w:r>
        <w:rPr>
          <w:color w:val="FF0000"/>
        </w:rPr>
        <w:t>.</w:t>
      </w:r>
    </w:p>
    <w:p>
      <w:pPr>
        <w:pStyle w:val="Normal"/>
        <w:spacing w:lineRule="exact" w:line="240" w:before="240" w:after="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of the ISDA Agreement, the Tax forms, documents, or certificates to be delivered are:</w:t>
      </w:r>
    </w:p>
    <w:p>
      <w:pPr>
        <w:pStyle w:val="Normal"/>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sectPr>
      <w:headerReference w:type="default" r:id="rId4"/>
      <w:headerReference w:type="first" r:id="rId5"/>
      <w:footerReference w:type="default" r:id="rId6"/>
      <w:footerReference w:type="first" r:id="rId7"/>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/mnt/main-storage/datasets/enron-docs/doc/156conf.doc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/mnt/main-storage/datasets/enron-docs/doc/156conf.doc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outlineLvl w:val="4"/>
    </w:pPr>
    <w:rPr>
      <w:b/>
      <w:color w:val="000000"/>
    </w:rPr>
  </w:style>
  <w:style w:type="paragraph" w:styleId="Heading6">
    <w:name w:val="heading 6"/>
    <w:basedOn w:val="Normal"/>
    <w:next w:val="Normal"/>
    <w:qFormat/>
    <w:pPr>
      <w:keepNext w:val="true"/>
      <w:numPr>
        <w:ilvl w:val="5"/>
        <w:numId w:val="1"/>
      </w:numPr>
      <w:jc w:val="center"/>
      <w:outlineLvl w:val="5"/>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2000-07-28T12:52:00Z</dcterms:created>
  <dc:creator>mheard</dc:creator>
  <dc:description/>
  <dc:language>en-CA</dc:language>
  <cp:lastModifiedBy>tjones</cp:lastModifiedBy>
  <cp:lastPrinted>2000-07-28T10:46:00Z</cp:lastPrinted>
  <dcterms:modified xsi:type="dcterms:W3CDTF">2000-07-28T13:16:00Z</dcterms:modified>
  <cp:revision>5</cp:revision>
  <dc:subject/>
  <dc:title>“DEEMED ISDA” CONFIRMATION</dc:title>
</cp:coreProperties>
</file>