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u w:val="single"/>
        </w:rPr>
        <w:t>ANNEX B</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t>CREDIT OR OTHER SPECIAL PROVISIONS</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Vidriera Mexico S.A. de C.V.</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This Annex B supplements, forms part of, and is incorporated into the Confirmation to which this Annex B is attached.  Until a Master Agreement is executed by the parties, this Annex B will set forth the credit or other special provisions governing all e Transactions between the parties except as otherwise specified in a Confirmation to a Transaction.</w:t>
      </w:r>
    </w:p>
    <w:p>
      <w:pPr>
        <w:pStyle w:val="Normal"/>
        <w:ind w:hanging="720" w:start="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ind w:start="360" w:end="0"/>
        <w:jc w:val="both"/>
        <w:rPr/>
      </w:pPr>
      <w:r>
        <w:rPr>
          <w:rFonts w:eastAsia="Arial Narrow" w:cs="Arial Narrow" w:ascii="Arial Narrow" w:hAnsi="Arial Narrow"/>
          <w:sz w:val="18"/>
          <w:szCs w:val="18"/>
        </w:rPr>
        <w:t>Within two (2) Business Days of the Counterparty's receipt of this Confirmation, Counterparty shall cause to be delivered to ENA a duly executed guaranty (</w:t>
      </w:r>
      <w:r>
        <w:rPr>
          <w:rFonts w:eastAsia="Arial Narrow" w:cs="Arial Narrow" w:ascii="Arial Narrow" w:hAnsi="Arial Narrow"/>
          <w:i/>
          <w:iCs/>
          <w:sz w:val="18"/>
          <w:szCs w:val="18"/>
        </w:rPr>
        <w:t>"</w:t>
      </w:r>
      <w:r>
        <w:rPr>
          <w:rFonts w:eastAsia="Arial Narrow" w:cs="Arial Narrow" w:ascii="Arial Narrow" w:hAnsi="Arial Narrow"/>
          <w:i/>
          <w:iCs/>
          <w:sz w:val="18"/>
          <w:szCs w:val="18"/>
          <w:u w:val="single"/>
        </w:rPr>
        <w:t>Guaranty</w:t>
      </w:r>
      <w:r>
        <w:rPr>
          <w:rFonts w:eastAsia="Arial Narrow" w:cs="Arial Narrow" w:ascii="Arial Narrow" w:hAnsi="Arial Narrow"/>
          <w:i/>
          <w:iCs/>
          <w:sz w:val="18"/>
          <w:szCs w:val="18"/>
        </w:rPr>
        <w:t>"</w:t>
      </w:r>
      <w:r>
        <w:rPr>
          <w:rFonts w:eastAsia="Arial Narrow" w:cs="Arial Narrow" w:ascii="Arial Narrow" w:hAnsi="Arial Narrow"/>
          <w:sz w:val="18"/>
          <w:szCs w:val="18"/>
        </w:rPr>
        <w:t>) from its Credit Support Provider in favor of ENA in the form attached hereto, which shall be a Credit Support Document."  "</w:t>
      </w:r>
      <w:r>
        <w:rPr>
          <w:rFonts w:eastAsia="Arial Narrow" w:cs="Arial Narrow" w:ascii="Arial Narrow" w:hAnsi="Arial Narrow"/>
          <w:i/>
          <w:iCs/>
          <w:sz w:val="18"/>
          <w:szCs w:val="18"/>
          <w:u w:val="single"/>
        </w:rPr>
        <w:t>Credit Support Provider</w:t>
      </w:r>
      <w:r>
        <w:rPr>
          <w:rFonts w:eastAsia="Arial Narrow" w:cs="Arial Narrow" w:ascii="Arial Narrow" w:hAnsi="Arial Narrow"/>
          <w:sz w:val="18"/>
          <w:szCs w:val="18"/>
        </w:rPr>
        <w:t>" means, with respect to Counterparty only, Vitro Envases Norte America, S.A. de C.V.</w:t>
      </w:r>
    </w:p>
    <w:p>
      <w:pPr>
        <w:sectPr>
          <w:footerReference w:type="default" r:id="rId2"/>
          <w:type w:val="nextPage"/>
          <w:pgSz w:w="12240" w:h="15840"/>
          <w:pgMar w:left="864" w:right="720" w:gutter="0" w:header="0" w:top="1440" w:footer="605" w:bottom="1440"/>
          <w:pgNumType w:start="1" w:fmt="decimal"/>
          <w:formProt w:val="false"/>
          <w:textDirection w:val="lrTb"/>
        </w:sectPr>
        <w:pStyle w:val="Normal"/>
        <w:ind w:start="36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spacing w:lineRule="exact" w:line="240"/>
        <w:ind w:end="720"/>
        <w:jc w:val="center"/>
        <w:rPr/>
      </w:pPr>
      <w:r>
        <w:rPr>
          <w:b/>
          <w:bCs/>
          <w:color w:val="000000"/>
        </w:rPr>
        <w:t>V</w:t>
      </w:r>
      <w:r>
        <w:rPr>
          <w:b/>
          <w:bCs/>
          <w:color w:val="000000"/>
          <w:sz w:val="22"/>
          <w:szCs w:val="22"/>
        </w:rPr>
        <w:t xml:space="preserve">ITRO </w:t>
      </w:r>
      <w:r>
        <w:rPr>
          <w:b/>
          <w:bCs/>
          <w:color w:val="000000"/>
        </w:rPr>
        <w:t>E</w:t>
      </w:r>
      <w:r>
        <w:rPr>
          <w:b/>
          <w:bCs/>
          <w:color w:val="000000"/>
          <w:sz w:val="22"/>
          <w:szCs w:val="22"/>
        </w:rPr>
        <w:t xml:space="preserve">NVASES </w:t>
      </w:r>
      <w:r>
        <w:rPr>
          <w:b/>
          <w:bCs/>
          <w:color w:val="000000"/>
        </w:rPr>
        <w:t>N</w:t>
      </w:r>
      <w:r>
        <w:rPr>
          <w:b/>
          <w:bCs/>
          <w:color w:val="000000"/>
          <w:sz w:val="22"/>
          <w:szCs w:val="22"/>
        </w:rPr>
        <w:t>ORTE</w:t>
      </w:r>
      <w:r>
        <w:rPr>
          <w:b/>
          <w:bCs/>
          <w:color w:val="000000"/>
        </w:rPr>
        <w:t>A</w:t>
      </w:r>
      <w:r>
        <w:rPr>
          <w:b/>
          <w:bCs/>
          <w:color w:val="000000"/>
          <w:sz w:val="22"/>
          <w:szCs w:val="22"/>
        </w:rPr>
        <w:t>MERICA, S.A. DE C.V.</w:t>
      </w:r>
    </w:p>
    <w:p>
      <w:pPr>
        <w:pStyle w:val="Normal"/>
        <w:ind w:end="720"/>
        <w:jc w:val="center"/>
        <w:rPr>
          <w:b/>
          <w:bCs/>
          <w:color w:val="000000"/>
          <w:sz w:val="22"/>
          <w:szCs w:val="22"/>
        </w:rPr>
      </w:pPr>
      <w:r>
        <w:rPr>
          <w:b/>
          <w:bCs/>
          <w:color w:val="000000"/>
          <w:sz w:val="22"/>
          <w:szCs w:val="22"/>
        </w:rPr>
      </w:r>
    </w:p>
    <w:p>
      <w:pPr>
        <w:pStyle w:val="Heading1"/>
        <w:rPr/>
      </w:pPr>
      <w:r>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exact" w:line="240"/>
        <w:ind w:firstLine="720" w:end="720"/>
        <w:jc w:val="both"/>
        <w:rPr/>
      </w:pPr>
      <w:r>
        <w:rPr>
          <w:sz w:val="22"/>
          <w:szCs w:val="22"/>
        </w:rPr>
        <w:t>This Guaranty (the “Guaranty”), dated as of  June 7, 2000, is made and entered into by</w:t>
      </w:r>
      <w:r>
        <w:rPr>
          <w:b/>
          <w:bCs/>
          <w:color w:val="000000"/>
          <w:sz w:val="22"/>
          <w:szCs w:val="22"/>
        </w:rPr>
        <w:t xml:space="preserve"> </w:t>
      </w:r>
      <w:r>
        <w:rPr>
          <w:color w:val="000000"/>
        </w:rPr>
        <w:t>V</w:t>
      </w:r>
      <w:r>
        <w:rPr>
          <w:color w:val="000000"/>
          <w:sz w:val="22"/>
          <w:szCs w:val="22"/>
        </w:rPr>
        <w:t xml:space="preserve">ITRO </w:t>
      </w:r>
      <w:r>
        <w:rPr>
          <w:color w:val="000000"/>
        </w:rPr>
        <w:t>E</w:t>
      </w:r>
      <w:r>
        <w:rPr>
          <w:color w:val="000000"/>
          <w:sz w:val="22"/>
          <w:szCs w:val="22"/>
        </w:rPr>
        <w:t xml:space="preserve">NVASES </w:t>
      </w:r>
      <w:r>
        <w:rPr>
          <w:color w:val="000000"/>
        </w:rPr>
        <w:t>N</w:t>
      </w:r>
      <w:r>
        <w:rPr>
          <w:color w:val="000000"/>
          <w:sz w:val="22"/>
          <w:szCs w:val="22"/>
        </w:rPr>
        <w:t>ORTE</w:t>
      </w:r>
      <w:r>
        <w:rPr>
          <w:color w:val="000000"/>
        </w:rPr>
        <w:t>A</w:t>
      </w:r>
      <w:r>
        <w:rPr>
          <w:color w:val="000000"/>
          <w:sz w:val="22"/>
          <w:szCs w:val="22"/>
        </w:rPr>
        <w:t>MERICA, S.A. DE C.V.</w:t>
      </w:r>
      <w:r>
        <w:rPr>
          <w:sz w:val="22"/>
          <w:szCs w:val="22"/>
        </w:rPr>
        <w:t>, a</w:t>
      </w:r>
      <w:r>
        <w:rPr>
          <w:b/>
          <w:bCs/>
          <w:color w:val="0000FF"/>
          <w:sz w:val="22"/>
          <w:szCs w:val="22"/>
        </w:rPr>
        <w:t xml:space="preserve"> </w:t>
      </w:r>
      <w:r>
        <w:rPr>
          <w:color w:val="0000FF"/>
          <w:sz w:val="22"/>
          <w:szCs w:val="22"/>
        </w:rPr>
        <w:t>sociedad anonima de capital variable organized under the law of Mexico</w:t>
      </w:r>
      <w:r>
        <w:rPr>
          <w:sz w:val="22"/>
          <w:szCs w:val="22"/>
        </w:rPr>
        <w:t xml:space="preserve">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VIDRIERA MEXICO, S.A. DE C.V., a ___________________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pPr>
      <w:r>
        <w:rPr>
          <w:sz w:val="22"/>
          <w:szCs w:val="22"/>
        </w:rPr>
        <w:t xml:space="preserve">(a)  it is a </w:t>
      </w:r>
      <w:r>
        <w:rPr>
          <w:color w:val="0000FF"/>
          <w:sz w:val="22"/>
          <w:szCs w:val="22"/>
        </w:rPr>
        <w:t>sociedad anonima de capital variable</w:t>
      </w:r>
      <w:r>
        <w:rPr>
          <w:sz w:val="22"/>
          <w:szCs w:val="22"/>
        </w:rPr>
        <w:t xml:space="preserve"> duly organized and validly existing under the laws of Mexico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To Enron:</w:t>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Enron North America Corp.</w:t>
            </w:r>
          </w:p>
          <w:p>
            <w:pPr>
              <w:pStyle w:val="Normal"/>
              <w:keepNext w:val="true"/>
              <w:keepLines/>
              <w:spacing w:lineRule="atLeast" w:line="240"/>
              <w:rPr>
                <w:sz w:val="22"/>
                <w:szCs w:val="22"/>
              </w:rPr>
            </w:pPr>
            <w:r>
              <w:rPr>
                <w:sz w:val="22"/>
                <w:szCs w:val="22"/>
              </w:rPr>
              <w:t>1400 Smith Street</w:t>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To Guarantor:</w:t>
            </w:r>
          </w:p>
        </w:tc>
        <w:tc>
          <w:tcPr>
            <w:tcW w:w="315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sz w:val="22"/>
                <w:szCs w:val="22"/>
                <w:u w:val="single"/>
              </w:rPr>
            </w:pPr>
            <w:r>
              <w:rPr>
                <w:sz w:val="22"/>
                <w:szCs w:val="22"/>
              </w:rPr>
              <w:t>Vidriera Mexico, S.A. de C.V.</w:t>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Houston, Texas  77002</w:t>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315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315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pacing w:lineRule="atLeast" w:line="240"/>
              <w:rPr>
                <w:sz w:val="22"/>
                <w:szCs w:val="22"/>
              </w:rPr>
            </w:pPr>
            <w:r>
              <w:rPr>
                <w:sz w:val="22"/>
                <w:szCs w:val="22"/>
              </w:rPr>
              <w:t>Fax No.:  (713) 646-4816</w:t>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315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423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1620" w:type="dxa"/>
            <w:tcBorders>
              <w:top w:val="dashed" w:sz="6" w:space="0" w:color="auto"/>
              <w:start w:val="dashed" w:sz="6" w:space="0" w:color="auto"/>
              <w:bottom w:val="dashed" w:sz="6" w:space="0" w:color="auto"/>
              <w:end w:val="dashed" w:sz="6" w:space="0" w:color="auto"/>
            </w:tcBorders>
          </w:tcPr>
          <w:p>
            <w:pPr>
              <w:pStyle w:val="Normal"/>
              <w:keepNext w:val="true"/>
              <w:keepLines/>
              <w:snapToGrid w:val="false"/>
              <w:spacing w:lineRule="atLeast" w:line="240"/>
              <w:rPr>
                <w:sz w:val="22"/>
                <w:szCs w:val="22"/>
              </w:rPr>
            </w:pPr>
            <w:r>
              <w:rPr>
                <w:sz w:val="22"/>
                <w:szCs w:val="22"/>
              </w:rPr>
            </w:r>
          </w:p>
        </w:tc>
        <w:tc>
          <w:tcPr>
            <w:tcW w:w="3150" w:type="dxa"/>
            <w:tcBorders>
              <w:top w:val="dashed" w:sz="6" w:space="0" w:color="auto"/>
              <w:start w:val="dashed" w:sz="6" w:space="0" w:color="auto"/>
              <w:bottom w:val="dashed" w:sz="6" w:space="0" w:color="auto"/>
              <w:end w:val="dashed" w:sz="6" w:space="0" w:color="auto"/>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on June  ____, 2000, but it is effective as of the date first above written.</w:t>
      </w:r>
    </w:p>
    <w:p>
      <w:pPr>
        <w:pStyle w:val="Normal"/>
        <w:spacing w:lineRule="atLeast" w:line="240"/>
        <w:jc w:val="both"/>
        <w:rPr>
          <w:b/>
          <w:bCs/>
          <w:sz w:val="22"/>
          <w:szCs w:val="22"/>
        </w:rPr>
      </w:pPr>
      <w:r>
        <w:rPr>
          <w:b/>
          <w:bCs/>
          <w:sz w:val="22"/>
          <w:szCs w:val="22"/>
        </w:rPr>
      </w:r>
    </w:p>
    <w:p>
      <w:pPr>
        <w:pStyle w:val="BlockText"/>
        <w:tabs>
          <w:tab w:val="clear" w:pos="5040"/>
          <w:tab w:val="left" w:pos="3780" w:leader="none"/>
        </w:tabs>
        <w:ind w:start="3780" w:end="720"/>
        <w:rPr/>
      </w:pPr>
      <w:r>
        <w:rPr/>
        <w:t>VITRO ENVASES NORTE AMERICA, S.A. DE C.V.</w:t>
      </w:r>
    </w:p>
    <w:p>
      <w:pPr>
        <w:pStyle w:val="Normal"/>
        <w:spacing w:lineRule="exact" w:line="240"/>
        <w:ind w:start="5040" w:end="0"/>
        <w:jc w:val="both"/>
        <w:rPr>
          <w:sz w:val="22"/>
          <w:szCs w:val="22"/>
        </w:rPr>
      </w:pPr>
      <w:r>
        <w:rPr>
          <w:sz w:val="22"/>
          <w:szCs w:val="22"/>
        </w:rPr>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396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396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3960" w:end="0"/>
        <w:jc w:val="both"/>
        <w:rPr/>
      </w:pPr>
      <w:r>
        <w:rPr>
          <w:sz w:val="22"/>
          <w:szCs w:val="22"/>
        </w:rPr>
        <w:t xml:space="preserve">Title:  </w:t>
      </w:r>
      <w:r>
        <w:rPr>
          <w:sz w:val="22"/>
          <w:szCs w:val="22"/>
          <w:u w:val="single"/>
        </w:rPr>
        <w:tab/>
        <w:tab/>
        <w:tab/>
        <w:tab/>
        <w:tab/>
      </w:r>
    </w:p>
    <w:sectPr>
      <w:footerReference w:type="default" r:id="rId3"/>
      <w:footerReference w:type="first" r:id="rId4"/>
      <w:type w:val="nextPage"/>
      <w:pgSz w:w="12240" w:h="15840"/>
      <w:pgMar w:left="1080" w:right="108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Dutch Roman   Roman 8) (FW">
    <w:altName w:val=" Por"/>
    <w:charset w:val="01"/>
    <w:family w:val="roman"/>
    <w:pitch w:val="default"/>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szCs w:val="10"/>
      </w:rPr>
    </w:pPr>
    <w:r>
      <w:rPr>
        <w:sz w:val="10"/>
        <w:szCs w:val="10"/>
      </w:rPr>
      <w:fldChar w:fldCharType="begin"/>
    </w:r>
    <w:r>
      <w:rPr>
        <w:sz w:val="10"/>
        <w:szCs w:val="10"/>
      </w:rPr>
      <w:instrText xml:space="preserve"> FILENAME \p </w:instrText>
    </w:r>
    <w:r>
      <w:rPr>
        <w:sz w:val="10"/>
        <w:szCs w:val="10"/>
      </w:rPr>
      <w:fldChar w:fldCharType="separate"/>
    </w:r>
    <w:r>
      <w:rPr>
        <w:sz w:val="10"/>
        <w:szCs w:val="10"/>
      </w:rPr>
      <w:t>/mnt/main-storage/datasets/enron-docs/doc/155conf.DOC</w:t>
    </w:r>
    <w:r>
      <w:rPr>
        <w:sz w:val="10"/>
        <w:szCs w:val="10"/>
      </w:rPr>
      <w:fldChar w:fldCharType="end"/>
    </w:r>
  </w:p>
  <w:p>
    <w:pPr>
      <w:pStyle w:val="Footer"/>
      <w:rPr>
        <w:sz w:val="10"/>
        <w:szCs w:val="10"/>
      </w:rPr>
    </w:pPr>
    <w:r>
      <w:rPr>
        <w:sz w:val="10"/>
        <w:szCs w:val="10"/>
      </w:rPr>
      <w:fldChar w:fldCharType="begin"/>
    </w:r>
    <w:r>
      <w:rPr>
        <w:sz w:val="10"/>
        <w:szCs w:val="10"/>
      </w:rPr>
      <w:instrText xml:space="preserve"> DATE \@"MM\/dd\/yy" </w:instrText>
    </w:r>
    <w:r>
      <w:rPr>
        <w:sz w:val="10"/>
        <w:szCs w:val="10"/>
      </w:rPr>
      <w:fldChar w:fldCharType="separate"/>
    </w:r>
    <w:r>
      <w:rPr>
        <w:sz w:val="10"/>
        <w:szCs w:val="10"/>
      </w:rPr>
      <w:t>09/28/25</w:t>
    </w:r>
    <w:r>
      <w:rPr>
        <w:sz w:val="10"/>
        <w:szCs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pPr>
    <w:r>
      <w:rPr>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3</w:t>
    </w:r>
    <w:r>
      <w:rPr>
        <w:rStyle w:val="PageNumbe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lineRule="exact" w:line="240"/>
      <w:ind w:hanging="0" w:start="0" w:end="720"/>
      <w:jc w:val="center"/>
      <w:outlineLvl w:val="0"/>
    </w:pPr>
    <w:rPr>
      <w:sz w:val="22"/>
      <w:szCs w:val="22"/>
      <w:u w:val="single"/>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eastAsia="Times" w:cs="Times"/>
      <w:sz w:val="26"/>
      <w:szCs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w:hAnsi="Times" w:eastAsia="Times" w:cs="Times"/>
      <w:sz w:val="20"/>
      <w:szCs w:val="20"/>
      <w:lang w:val="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Times" w:hAnsi="Times" w:eastAsia="Times" w:cs="Times"/>
      <w:sz w:val="26"/>
      <w:szCs w:val="26"/>
    </w:rPr>
  </w:style>
  <w:style w:type="paragraph" w:styleId="Hidden">
    <w:name w:val="Hidden"/>
    <w:basedOn w:val="Normal"/>
    <w:next w:val="Normal"/>
    <w:qFormat/>
    <w:pPr/>
    <w:rPr>
      <w:rFonts w:ascii="Times" w:hAnsi="Times" w:eastAsia="Times" w:cs="Times"/>
      <w:vanish/>
      <w:color w:val="FF0000"/>
      <w:sz w:val="26"/>
      <w:szCs w:val="26"/>
    </w:rPr>
  </w:style>
  <w:style w:type="paragraph" w:styleId="Expanded">
    <w:name w:val="Expanded"/>
    <w:basedOn w:val="Normal"/>
    <w:next w:val="Normal"/>
    <w:qFormat/>
    <w:pPr>
      <w:spacing w:before="0" w:after="240"/>
      <w:jc w:val="center"/>
    </w:pPr>
    <w:rPr>
      <w:rFonts w:ascii="Times" w:hAnsi="Times" w:eastAsia="Times" w:cs="Times"/>
      <w:b/>
      <w:bCs/>
      <w:caps/>
      <w:spacing w:val="60"/>
      <w:sz w:val="26"/>
      <w:szCs w:val="26"/>
    </w:rPr>
  </w:style>
  <w:style w:type="paragraph" w:styleId="FOOTNOTE">
    <w:name w:val="FOOTNOTE"/>
    <w:basedOn w:val="Normal"/>
    <w:qFormat/>
    <w:pPr/>
    <w:rPr>
      <w:rFonts w:ascii="Times" w:hAnsi="Times" w:eastAsia="Times" w:cs="Times"/>
      <w:sz w:val="20"/>
      <w:szCs w:val="20"/>
      <w:lang w:val="en-CA"/>
    </w:rPr>
  </w:style>
  <w:style w:type="paragraph" w:styleId="HIGHLIGHT1">
    <w:name w:val="HIGHLIGHT 1"/>
    <w:basedOn w:val="Normal"/>
    <w:qFormat/>
    <w:pPr/>
    <w:rPr>
      <w:rFonts w:ascii="Times" w:hAnsi="Times" w:eastAsia="Times" w:cs="Times"/>
      <w:sz w:val="20"/>
      <w:szCs w:val="20"/>
      <w:lang w:val="en-CA"/>
    </w:rPr>
  </w:style>
  <w:style w:type="paragraph" w:styleId="DRAFTON">
    <w:name w:val="DRAFT ON"/>
    <w:basedOn w:val="Normal"/>
    <w:qFormat/>
    <w:pPr>
      <w:jc w:val="end"/>
    </w:pPr>
    <w:rPr>
      <w:rFonts w:ascii="Times" w:hAnsi="Times" w:eastAsia="Times" w:cs="Times"/>
      <w:sz w:val="20"/>
      <w:szCs w:val="20"/>
      <w:lang w:val="en-CA"/>
    </w:rPr>
  </w:style>
  <w:style w:type="paragraph" w:styleId="DRAFTOFF">
    <w:name w:val="DRAFT OFF"/>
    <w:basedOn w:val="Normal"/>
    <w:qFormat/>
    <w:pPr/>
    <w:rPr>
      <w:rFonts w:ascii="Times" w:hAnsi="Times" w:eastAsia="Times" w:cs="Times"/>
      <w:sz w:val="20"/>
      <w:szCs w:val="20"/>
      <w:lang w:val="en-CA"/>
    </w:rPr>
  </w:style>
  <w:style w:type="paragraph" w:styleId="LETTERLAND">
    <w:name w:val="LETTER LAND"/>
    <w:basedOn w:val="Normal"/>
    <w:qFormat/>
    <w:pPr/>
    <w:rPr>
      <w:rFonts w:ascii="Times" w:hAnsi="Times" w:eastAsia="Times" w:cs="Times"/>
      <w:sz w:val="20"/>
      <w:szCs w:val="20"/>
      <w:lang w:val="en-CA"/>
    </w:rPr>
  </w:style>
  <w:style w:type="paragraph" w:styleId="LEGALLAND">
    <w:name w:val="LEGAL LAND"/>
    <w:basedOn w:val="Normal"/>
    <w:qFormat/>
    <w:pPr/>
    <w:rPr>
      <w:rFonts w:ascii="Times" w:hAnsi="Times" w:eastAsia="Times" w:cs="Times"/>
      <w:sz w:val="20"/>
      <w:szCs w:val="20"/>
      <w:lang w:val="en-CA"/>
    </w:rPr>
  </w:style>
  <w:style w:type="paragraph" w:styleId="LETTERPORT">
    <w:name w:val="LETTER PORT"/>
    <w:basedOn w:val="Normal"/>
    <w:qFormat/>
    <w:pPr/>
    <w:rPr>
      <w:rFonts w:ascii="Times" w:hAnsi="Times" w:eastAsia="Times" w:cs="Times"/>
      <w:sz w:val="20"/>
      <w:szCs w:val="20"/>
      <w:lang w:val="en-CA"/>
    </w:rPr>
  </w:style>
  <w:style w:type="paragraph" w:styleId="LEGALPORT">
    <w:name w:val="LEGAL PORT"/>
    <w:basedOn w:val="Normal"/>
    <w:qFormat/>
    <w:pPr/>
    <w:rPr>
      <w:rFonts w:ascii="Times" w:hAnsi="Times" w:eastAsia="Times" w:cs="Times"/>
      <w:sz w:val="20"/>
      <w:szCs w:val="20"/>
      <w:lang w:val="en-CA"/>
    </w:rPr>
  </w:style>
  <w:style w:type="paragraph" w:styleId="TITLE">
    <w:name w:val="TITLE"/>
    <w:basedOn w:val="Normal"/>
    <w:qFormat/>
    <w:pPr>
      <w:jc w:val="center"/>
    </w:pPr>
    <w:rPr>
      <w:rFonts w:ascii="Times" w:hAnsi="Times" w:eastAsia="Times" w:cs="Times"/>
      <w:sz w:val="20"/>
      <w:szCs w:val="20"/>
      <w:lang w:val="en-CA"/>
    </w:rPr>
  </w:style>
  <w:style w:type="paragraph" w:styleId="BLOCKQUOTE">
    <w:name w:val="BLOCK QUOTE"/>
    <w:basedOn w:val="Normal"/>
    <w:qFormat/>
    <w:pPr>
      <w:spacing w:lineRule="atLeast" w:line="240"/>
      <w:ind w:hanging="0" w:start="720" w:end="720"/>
    </w:pPr>
    <w:rPr>
      <w:rFonts w:ascii="Times" w:hAnsi="Times" w:eastAsia="Times" w:cs="Times"/>
      <w:sz w:val="20"/>
      <w:szCs w:val="20"/>
      <w:lang w:val="en-CA"/>
    </w:rPr>
  </w:style>
  <w:style w:type="paragraph" w:styleId="HIGHLIGHT2">
    <w:name w:val="HIGHLIGHT 2"/>
    <w:basedOn w:val="Normal"/>
    <w:qFormat/>
    <w:pPr/>
    <w:rPr>
      <w:rFonts w:ascii="Times" w:hAnsi="Times" w:eastAsia="Times" w:cs="Times"/>
      <w:sz w:val="20"/>
      <w:szCs w:val="20"/>
      <w:lang w:val="en-CA"/>
    </w:rPr>
  </w:style>
  <w:style w:type="paragraph" w:styleId="HIGHLIGHT3">
    <w:name w:val="HIGHLIGHT 3"/>
    <w:basedOn w:val="Normal"/>
    <w:qFormat/>
    <w:pPr/>
    <w:rPr>
      <w:rFonts w:ascii="Times" w:hAnsi="Times" w:eastAsia="Times" w:cs="Times"/>
      <w:sz w:val="20"/>
      <w:szCs w:val="20"/>
      <w:lang w:val="en-CA"/>
    </w:rPr>
  </w:style>
  <w:style w:type="paragraph" w:styleId="LETTERHEAD">
    <w:name w:val="LETTERHEAD"/>
    <w:basedOn w:val="Normal"/>
    <w:qFormat/>
    <w:pPr>
      <w:jc w:val="center"/>
    </w:pPr>
    <w:rPr>
      <w:rFonts w:ascii="Times" w:hAnsi="Times" w:eastAsia="Times" w:cs="Times"/>
      <w:sz w:val="20"/>
      <w:szCs w:val="20"/>
      <w:lang w:val="en-CA"/>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w:hAnsi="Times" w:eastAsia="Times" w:cs="Times"/>
      <w:sz w:val="20"/>
      <w:szCs w:val="20"/>
      <w:lang w:val="en-CA"/>
    </w:rPr>
  </w:style>
  <w:style w:type="paragraph" w:styleId="MEMORANDUM">
    <w:name w:val="MEMORANDUM"/>
    <w:basedOn w:val="Normal"/>
    <w:qFormat/>
    <w:pPr>
      <w:jc w:val="center"/>
    </w:pPr>
    <w:rPr>
      <w:rFonts w:ascii="Times" w:hAnsi="Times" w:eastAsia="Times" w:cs="Times"/>
      <w:sz w:val="20"/>
      <w:szCs w:val="20"/>
      <w:lang w:val="en-CA"/>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w:hAnsi="Times" w:eastAsia="Times" w:cs="Times"/>
      <w:sz w:val="20"/>
      <w:szCs w:val="20"/>
      <w:lang w:val="en-CA"/>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w:hAnsi="Times" w:eastAsia="Times" w:cs="Times"/>
      <w:sz w:val="20"/>
      <w:szCs w:val="20"/>
      <w:lang w:val="en-CA"/>
    </w:rPr>
  </w:style>
  <w:style w:type="paragraph" w:styleId="INVOICEHEAD">
    <w:name w:val="INVOICE HEAD"/>
    <w:basedOn w:val="Normal"/>
    <w:qFormat/>
    <w:pPr>
      <w:tabs>
        <w:tab w:val="clear" w:pos="720"/>
        <w:tab w:val="left" w:pos="4680" w:leader="none"/>
      </w:tabs>
      <w:jc w:val="center"/>
    </w:pPr>
    <w:rPr>
      <w:rFonts w:ascii="Times" w:hAnsi="Times" w:eastAsia="Times" w:cs="Times"/>
      <w:sz w:val="20"/>
      <w:szCs w:val="20"/>
      <w:lang w:val="en-CA"/>
    </w:rPr>
  </w:style>
  <w:style w:type="paragraph" w:styleId="SMALL">
    <w:name w:val="SMALL"/>
    <w:basedOn w:val="Normal"/>
    <w:qFormat/>
    <w:pPr/>
    <w:rPr>
      <w:rFonts w:ascii="Times" w:hAnsi="Times" w:eastAsia="Times" w:cs="Times"/>
      <w:sz w:val="20"/>
      <w:szCs w:val="20"/>
      <w:lang w:val="en-CA"/>
    </w:rPr>
  </w:style>
  <w:style w:type="paragraph" w:styleId="FINE">
    <w:name w:val="FINE"/>
    <w:basedOn w:val="Normal"/>
    <w:qFormat/>
    <w:pPr/>
    <w:rPr>
      <w:rFonts w:ascii="Times" w:hAnsi="Times" w:eastAsia="Times" w:cs="Times"/>
      <w:sz w:val="20"/>
      <w:szCs w:val="20"/>
      <w:lang w:val="en-CA"/>
    </w:rPr>
  </w:style>
  <w:style w:type="paragraph" w:styleId="LARGE">
    <w:name w:val="LARGE"/>
    <w:basedOn w:val="Normal"/>
    <w:qFormat/>
    <w:pPr/>
    <w:rPr>
      <w:rFonts w:ascii="Times" w:hAnsi="Times" w:eastAsia="Times" w:cs="Times"/>
      <w:sz w:val="20"/>
      <w:szCs w:val="20"/>
      <w:lang w:val="en-CA"/>
    </w:rPr>
  </w:style>
  <w:style w:type="paragraph" w:styleId="EXTRALARGE">
    <w:name w:val="EXTRA LARGE"/>
    <w:basedOn w:val="Normal"/>
    <w:qFormat/>
    <w:pPr/>
    <w:rPr>
      <w:rFonts w:ascii="Times" w:hAnsi="Times" w:eastAsia="Times" w:cs="Times"/>
      <w:sz w:val="20"/>
      <w:szCs w:val="20"/>
      <w:lang w:val="en-CA"/>
    </w:rPr>
  </w:style>
  <w:style w:type="paragraph" w:styleId="VERYLARGE">
    <w:name w:val="VERY LARGE"/>
    <w:basedOn w:val="Normal"/>
    <w:qFormat/>
    <w:pPr/>
    <w:rPr>
      <w:rFonts w:ascii="Times" w:hAnsi="Times" w:eastAsia="Times" w:cs="Times"/>
      <w:sz w:val="20"/>
      <w:szCs w:val="20"/>
      <w:lang w:val="en-CA"/>
    </w:rPr>
  </w:style>
  <w:style w:type="paragraph" w:styleId="ENVELOPE">
    <w:name w:val="ENVELOPE"/>
    <w:basedOn w:val="Normal"/>
    <w:qFormat/>
    <w:pPr/>
    <w:rPr>
      <w:rFonts w:ascii="Times" w:hAnsi="Times" w:eastAsia="Times" w:cs="Times"/>
      <w:sz w:val="20"/>
      <w:szCs w:val="20"/>
      <w:lang w:val="en-CA"/>
    </w:rPr>
  </w:style>
  <w:style w:type="paragraph" w:styleId="RightPar">
    <w:name w:val="Right Par"/>
    <w:basedOn w:val="Normal"/>
    <w:qFormat/>
    <w:pPr>
      <w:ind w:hanging="0" w:start="720" w:end="0"/>
    </w:pPr>
    <w:rPr>
      <w:rFonts w:ascii="Times" w:hAnsi="Times" w:eastAsia="Times" w:cs="Times"/>
      <w:sz w:val="20"/>
      <w:szCs w:val="20"/>
      <w:lang w:val="en-CA"/>
    </w:rPr>
  </w:style>
  <w:style w:type="paragraph" w:styleId="Bibliogrphy">
    <w:name w:val="Bibliogrphy"/>
    <w:basedOn w:val="Normal"/>
    <w:qFormat/>
    <w:pPr>
      <w:ind w:firstLine="720" w:start="720" w:end="0"/>
    </w:pPr>
    <w:rPr>
      <w:rFonts w:ascii="Times" w:hAnsi="Times" w:eastAsia="Times" w:cs="Times"/>
      <w:sz w:val="20"/>
      <w:szCs w:val="20"/>
      <w:lang w:val="en-CA"/>
    </w:rPr>
  </w:style>
  <w:style w:type="paragraph" w:styleId="Subheading">
    <w:name w:val="Subheading"/>
    <w:basedOn w:val="Normal"/>
    <w:qFormat/>
    <w:pPr/>
    <w:rPr>
      <w:rFonts w:ascii="Times" w:hAnsi="Times" w:eastAsia="Times" w:cs="Times"/>
      <w:sz w:val="20"/>
      <w:szCs w:val="20"/>
      <w:lang w:val="en-CA"/>
    </w:rPr>
  </w:style>
  <w:style w:type="paragraph" w:styleId="Pleading">
    <w:name w:val="Pleading"/>
    <w:basedOn w:val="Normal"/>
    <w:qFormat/>
    <w:pPr>
      <w:tabs>
        <w:tab w:val="clear" w:pos="720"/>
        <w:tab w:val="right" w:pos="288" w:leader="none"/>
      </w:tabs>
    </w:pPr>
    <w:rPr>
      <w:rFonts w:ascii="Times" w:hAnsi="Times" w:eastAsia="Times" w:cs="Times"/>
      <w:sz w:val="20"/>
      <w:szCs w:val="20"/>
      <w:lang w:val="en-CA"/>
    </w:rPr>
  </w:style>
  <w:style w:type="paragraph" w:styleId="INVOICEHD2">
    <w:name w:val="INVOICE HD2"/>
    <w:basedOn w:val="Normal"/>
    <w:qFormat/>
    <w:pPr>
      <w:tabs>
        <w:tab w:val="clear" w:pos="720"/>
        <w:tab w:val="left" w:pos="4680" w:leader="none"/>
      </w:tabs>
      <w:jc w:val="center"/>
    </w:pPr>
    <w:rPr>
      <w:rFonts w:ascii="Times" w:hAnsi="Times" w:eastAsia="Times" w:cs="Times"/>
      <w:sz w:val="20"/>
      <w:szCs w:val="20"/>
      <w:lang w:val="en-CA"/>
    </w:rPr>
  </w:style>
  <w:style w:type="paragraph" w:styleId="1">
    <w:name w:val="1"/>
    <w:basedOn w:val="Normal"/>
    <w:qFormat/>
    <w:pPr/>
    <w:rPr>
      <w:rFonts w:ascii="Times" w:hAnsi="Times" w:eastAsia="Times" w:cs="Times"/>
      <w:sz w:val="20"/>
      <w:szCs w:val="20"/>
      <w:lang w:val="en-CA"/>
    </w:rPr>
  </w:style>
  <w:style w:type="paragraph" w:styleId="DocInit">
    <w:name w:val="Doc Init"/>
    <w:basedOn w:val="Normal"/>
    <w:qFormat/>
    <w:pPr/>
    <w:rPr>
      <w:rFonts w:ascii="Dutch Roman   Roman 8) (FW, Por;Times New Roman" w:hAnsi="Dutch Roman   Roman 8) (FW, Por;Times New Roman" w:eastAsia="Dutch Roman   Roman 8) (FW, Por;Times New Roman" w:cs="Dutch Roman   Roman 8) (FW, Por;Times New Roman"/>
    </w:rPr>
  </w:style>
  <w:style w:type="paragraph" w:styleId="TechInit">
    <w:name w:val="Tech Init"/>
    <w:basedOn w:val="Normal"/>
    <w:qFormat/>
    <w:pPr/>
    <w:rPr>
      <w:rFonts w:ascii="Dutch Roman   Roman 8) (FW, Por;Times New Roman" w:hAnsi="Dutch Roman   Roman 8) (FW, Por;Times New Roman" w:eastAsia="Dutch Roman   Roman 8) (FW, Por;Times New Roman" w:cs="Dutch Roman   Roman 8) (FW, Por;Times New Roman"/>
    </w:rPr>
  </w:style>
  <w:style w:type="paragraph" w:styleId="Technical">
    <w:name w:val="Technical"/>
    <w:basedOn w:val="Normal"/>
    <w:qFormat/>
    <w:pPr/>
    <w:rPr>
      <w:rFonts w:ascii="Dutch Roman   Roman 8) (FW, Por;Times New Roman" w:hAnsi="Dutch Roman   Roman 8) (FW, Por;Times New Roman" w:eastAsia="Dutch Roman   Roman 8) (FW, Por;Times New Roman" w:cs="Dutch Roman   Roman 8) (FW, Por;Times New Roman"/>
    </w:rPr>
  </w:style>
  <w:style w:type="paragraph" w:styleId="Document">
    <w:name w:val="Document"/>
    <w:basedOn w:val="Normal"/>
    <w:qFormat/>
    <w:pPr/>
    <w:rPr>
      <w:rFonts w:ascii="Dutch Roman   Roman 8) (FW, Por;Times New Roman" w:hAnsi="Dutch Roman   Roman 8) (FW, Por;Times New Roman" w:eastAsia="Dutch Roman   Roman 8) (FW, Por;Times New Roman" w:cs="Dutch Roman   Roman 8) (FW, Por;Times New Roman"/>
    </w:rPr>
  </w:style>
  <w:style w:type="paragraph" w:styleId="BodyTextIndent3">
    <w:name w:val="Body Text Indent 3"/>
    <w:basedOn w:val="Normal"/>
    <w:qFormat/>
    <w:pPr>
      <w:ind w:hanging="0" w:start="720" w:end="0"/>
      <w:jc w:val="both"/>
    </w:pPr>
    <w:rPr>
      <w:sz w:val="22"/>
      <w:szCs w:val="22"/>
    </w:rPr>
  </w:style>
  <w:style w:type="paragraph" w:styleId="BlockText">
    <w:name w:val="Block Text"/>
    <w:basedOn w:val="Normal"/>
    <w:qFormat/>
    <w:pPr>
      <w:tabs>
        <w:tab w:val="clear" w:pos="720"/>
        <w:tab w:val="left" w:pos="5040" w:leader="none"/>
      </w:tabs>
      <w:spacing w:lineRule="exact" w:line="240"/>
      <w:ind w:hanging="0" w:start="5040" w:end="720"/>
      <w:jc w:val="center"/>
    </w:pPr>
    <w:rPr>
      <w:b/>
      <w:bCs/>
      <w:color w:val="00000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2000-06-09T13:50:00Z</dcterms:created>
  <dc:creator>tjones</dc:creator>
  <dc:description/>
  <dc:language>en-CA</dc:language>
  <cp:lastModifiedBy>tjones</cp:lastModifiedBy>
  <cp:lastPrinted>2000-06-09T11:50:00Z</cp:lastPrinted>
  <dcterms:modified xsi:type="dcterms:W3CDTF">2000-06-09T14:21:00Z</dcterms:modified>
  <cp:revision>3</cp:revision>
  <dc:subject/>
  <dc:title>ANNEX B</dc:title>
</cp:coreProperties>
</file>