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ANNEX B</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t>CREDIT OR OTHER SPECIAL PROVISIONS</w:t>
      </w:r>
    </w:p>
    <w:p>
      <w:pPr>
        <w:pStyle w:val="Normal"/>
        <w:jc w:val="center"/>
        <w:rPr>
          <w:rFonts w:ascii="Arial Narrow" w:hAnsi="Arial Narrow" w:cs="Arial Narrow"/>
          <w:sz w:val="18"/>
        </w:rPr>
      </w:pPr>
      <w:r>
        <w:rPr>
          <w:rFonts w:cs="Arial Narrow" w:ascii="Arial Narrow" w:hAnsi="Arial Narrow"/>
          <w:b/>
          <w:sz w:val="20"/>
        </w:rPr>
        <w:t>Diaz Resources Ltd.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U.S. $500,000 with respect to Counterparty, and U.S. $100,000,000 with respect to ECC, and the failure to remedy the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ind w:start="360" w:end="144"/>
        <w:jc w:val="both"/>
        <w:rPr>
          <w:rFonts w:ascii="Arial Narrow" w:hAnsi="Arial Narrow" w:cs="Arial Narrow"/>
          <w:b/>
          <w:sz w:val="18"/>
        </w:rPr>
      </w:pPr>
      <w:r>
        <w:rPr>
          <w:rFonts w:cs="Arial Narrow" w:ascii="Arial Narrow" w:hAnsi="Arial Narrow"/>
          <w:b/>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Funded Debt</w:t>
      </w:r>
      <w:r>
        <w:rPr>
          <w:rFonts w:cs="Arial Narrow" w:ascii="Arial Narrow" w:hAnsi="Arial Narrow"/>
          <w:sz w:val="18"/>
        </w:rPr>
        <w:t>" means consolidated indebtedness of Counterparty which by its terms matures more than one year from the date as of which any calculation of Funded Debt is made.</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shall have any of the following occur at any time:  (i) the ratio of its Funded Debt to Net Worth is more than 0.8 to 1.0, or (ii) its Net Worth falls below C$4,500,000; or (b) with respect to ECC, Enron Corp.’s Credit Rating is below “BBB-” by S&amp;P.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 is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ECC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start="36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"Upon written request, each party shall deliver to the other (i) as soon as available and in any event within 120 days after the end of its (or in the case of ECC, Enron Corp.'s) fiscal year a copy of its (or in the case of ECC,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(or in the case of ECC, Enron Corp.'s) first three fiscal quarters of each fiscal year, copies of its (or in the case of ECC, Enron Corp.'s) quarterly reports containing unaudited consolidated financial statements for such fiscal quarter prepared in accordance with GAAP, and (iii) such other publicly available financial information as the other party may reasonably request.”</w:t>
      </w:r>
    </w:p>
    <w:p>
      <w:pPr>
        <w:pStyle w:val="Normal"/>
        <w:ind w:start="360" w:end="0"/>
        <w:jc w:val="both"/>
        <w:rPr>
          <w:rFonts w:ascii="Arial Narrow" w:hAnsi="Arial Narrow" w:cs="Arial Narrow"/>
          <w:sz w:val="18"/>
        </w:rPr>
      </w:pPr>
      <w:r>
        <w:rPr>
          <w:rFonts w:cs="Arial Narrow" w:ascii="Arial Narrow" w:hAnsi="Arial Narrow"/>
          <w:sz w:val="18"/>
        </w:rPr>
      </w:r>
    </w:p>
    <w:p>
      <w:pPr>
        <w:pStyle w:val="Normal"/>
        <w:numPr>
          <w:ilvl w:val="0"/>
          <w:numId w:val="3"/>
        </w:numPr>
        <w:jc w:val="both"/>
        <w:rPr>
          <w:rFonts w:ascii="Arial Narrow" w:hAnsi="Arial Narrow" w:cs="Arial Narrow"/>
          <w:sz w:val="18"/>
        </w:rPr>
      </w:pPr>
      <w:r>
        <w:rPr>
          <w:rFonts w:cs="Arial Narrow" w:ascii="Arial Narrow" w:hAnsi="Arial Narrow"/>
          <w:color w:val="800080"/>
          <w:sz w:val="18"/>
          <w:u w:val="single"/>
        </w:rPr>
        <w:t>Canadian Securities Acts</w:t>
      </w:r>
      <w:r>
        <w:rPr>
          <w:rFonts w:cs="Arial Narrow" w:ascii="Arial Narrow" w:hAnsi="Arial Narrow"/>
          <w:sz w:val="18"/>
        </w:rPr>
        <w:t>.</w:t>
      </w:r>
    </w:p>
    <w:p>
      <w:pPr>
        <w:pStyle w:val="Normal"/>
        <w:jc w:val="both"/>
        <w:rPr>
          <w:rFonts w:ascii="Arial Narrow" w:hAnsi="Arial Narrow" w:cs="Arial Narrow"/>
          <w:color w:val="800080"/>
          <w:sz w:val="18"/>
          <w:u w:val="single"/>
        </w:rPr>
      </w:pPr>
      <w:r>
        <w:rPr>
          <w:rFonts w:cs="Arial Narrow" w:ascii="Arial Narrow" w:hAnsi="Arial Narrow"/>
          <w:color w:val="800080"/>
          <w:sz w:val="18"/>
          <w:u w:val="single"/>
        </w:rPr>
      </w:r>
    </w:p>
    <w:p>
      <w:pPr>
        <w:pStyle w:val="Normal"/>
        <w:ind w:start="720" w:end="0"/>
        <w:jc w:val="both"/>
        <w:rPr>
          <w:rFonts w:ascii="Arial Narrow" w:hAnsi="Arial Narrow" w:cs="Arial Narrow"/>
          <w:sz w:val="18"/>
        </w:rPr>
      </w:pPr>
      <w:r>
        <w:rPr>
          <w:rFonts w:cs="Arial Narrow" w:ascii="Arial Narrow" w:hAnsi="Arial Narrow"/>
          <w:sz w:val="18"/>
        </w:rPr>
        <w:t>Section 1 of Annex A is amended to add the following new clause (e):</w:t>
      </w:r>
    </w:p>
    <w:p>
      <w:pPr>
        <w:sectPr>
          <w:headerReference w:type="default" r:id="rId2"/>
          <w:footerReference w:type="default" r:id="rId3"/>
          <w:type w:val="nextPage"/>
          <w:pgSz w:w="12240" w:h="15840"/>
          <w:pgMar w:left="864" w:right="720" w:gutter="0" w:header="720" w:top="1440" w:footer="605" w:bottom="1440"/>
          <w:pgNumType w:start="1" w:fmt="decimal"/>
          <w:formProt w:val="false"/>
          <w:textDirection w:val="lrTb"/>
          <w:docGrid w:type="default" w:linePitch="360" w:charSpace="0"/>
        </w:sectPr>
        <w:pStyle w:val="Normal"/>
        <w:spacing w:lineRule="exact" w:line="240" w:before="240" w:after="0"/>
        <w:ind w:start="720" w:end="0"/>
        <w:jc w:val="both"/>
        <w:rPr/>
      </w:pPr>
      <w:r>
        <w:rPr>
          <w:rFonts w:cs="Arial Narrow" w:ascii="Arial Narrow" w:hAnsi="Arial Narrow"/>
          <w:color w:val="800080"/>
          <w:sz w:val="18"/>
        </w:rPr>
        <w:t>“</w:t>
      </w:r>
      <w:r>
        <w:rPr>
          <w:rFonts w:cs="Arial Narrow" w:ascii="Arial Narrow" w:hAnsi="Arial Narrow"/>
          <w:color w:val="800080"/>
          <w:sz w:val="18"/>
        </w:rPr>
        <w:t xml:space="preserve">; and (e) (i) Each Transaction shall constitute an “OTC Derivative” as defined in the </w:t>
      </w:r>
      <w:r>
        <w:rPr>
          <w:rFonts w:cs="Arial Narrow" w:ascii="Arial Narrow" w:hAnsi="Arial Narrow"/>
          <w:i/>
          <w:color w:val="800080"/>
          <w:sz w:val="18"/>
        </w:rPr>
        <w:t>Securities Act</w:t>
      </w:r>
      <w:r>
        <w:rPr>
          <w:rFonts w:cs="Arial Narrow" w:ascii="Arial Narrow" w:hAnsi="Arial Narrow"/>
          <w:color w:val="800080"/>
          <w:sz w:val="18"/>
        </w:rPr>
        <w:t xml:space="preserve"> (Alberta) and the </w:t>
      </w:r>
      <w:r>
        <w:rPr>
          <w:rFonts w:cs="Arial Narrow" w:ascii="Arial Narrow" w:hAnsi="Arial Narrow"/>
          <w:i/>
          <w:color w:val="800080"/>
          <w:sz w:val="18"/>
        </w:rPr>
        <w:t>Securities Act</w:t>
      </w:r>
      <w:r>
        <w:rPr>
          <w:rFonts w:cs="Arial Narrow" w:ascii="Arial Narrow" w:hAnsi="Arial Narrow"/>
          <w:color w:val="800080"/>
          <w:sz w:val="18"/>
        </w:rPr>
        <w:t xml:space="preserve"> (British Columbia) which have application to such Transaction and (ii) it is a “Qualified Party” within the meaning of paragraph 9.1 of Alberta Securities Commission Order Doc#394043 and paragraph 1.1 of the draft British Columbia Securities Commission Blanket Order BOR#91-501, as in effect on the date hereof.”</w:t>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(the "</w:t>
      </w:r>
      <w:r>
        <w:rPr>
          <w:rFonts w:cs="Arial Narrow" w:ascii="Arial Narrow" w:hAnsi="Arial Narrow"/>
          <w:sz w:val="18"/>
          <w:u w:val="single"/>
        </w:rPr>
        <w:t>Exposed Party</w:t>
      </w:r>
      <w:r>
        <w:rPr>
          <w:rFonts w:cs="Arial Narrow" w:ascii="Arial Narrow" w:hAnsi="Arial Narrow"/>
          <w:sz w:val="18"/>
        </w:rPr>
        <w:t>") due and owed such amount having Exposure to the other party (the "</w:t>
      </w:r>
      <w:r>
        <w:rPr>
          <w:rFonts w:cs="Arial Narrow" w:ascii="Arial Narrow" w:hAnsi="Arial Narrow"/>
          <w:sz w:val="18"/>
          <w:u w:val="single"/>
        </w:rPr>
        <w:t>Non-Exposed Party</w:t>
      </w:r>
      <w:r>
        <w:rPr>
          <w:rFonts w:cs="Arial Narrow" w:ascii="Arial Narrow" w:hAnsi="Arial Narrow"/>
          <w:sz w:val="18"/>
        </w:rPr>
        <w:t>")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w:t>
      </w:r>
      <w:r>
        <w:rPr>
          <w:rFonts w:cs="Arial Narrow" w:ascii="Arial Narrow" w:hAnsi="Arial Narrow"/>
          <w:sz w:val="18"/>
          <w:u w:val="single"/>
        </w:rPr>
        <w:t>Exposure Threshold</w:t>
      </w:r>
      <w:r>
        <w:rPr>
          <w:rFonts w:cs="Arial Narrow" w:ascii="Arial Narrow" w:hAnsi="Arial Narrow"/>
          <w:sz w:val="18"/>
        </w:rPr>
        <w:t>" shall mean, with respect to (i) ECC, U.S. $5,000,000, and (ii) Counterparty, U.S. $150,000;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(h)</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pPr>
      <w:r>
        <w:rPr>
          <w:rFonts w:cs="Arial Narrow" w:ascii="Arial Narrow" w:hAnsi="Arial Narrow"/>
          <w:sz w:val="18"/>
        </w:rPr>
        <w:t>(i)</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Canadian or U.S. commercial bank or a foreign bank with a Canadian or U.S. branch office, with such bank having a Credit Rating of at least “A-” from S&amp;P or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(k)</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ECC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(l)</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(m)</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U.S. $100,000,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a substitute Letter of Credit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the Non-Exposed Party agrees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(f)</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s>
        <w:ind w:hanging="72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4"/>
          <w:headerReference w:type="first" r:id="rId5"/>
          <w:footerReference w:type="default" r:id="rId6"/>
          <w:footerReference w:type="first" r:id="rId7"/>
          <w:type w:val="nextPage"/>
          <w:pgSz w:w="12240" w:h="15840"/>
          <w:pgMar w:left="864" w:right="720" w:gutter="0" w:header="720" w:top="1440" w:footer="720"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19___,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sectPr>
      <w:headerReference w:type="default" r:id="rId8"/>
      <w:headerReference w:type="first" r:id="rId9"/>
      <w:footerReference w:type="default" r:id="rId10"/>
      <w:footerReference w:type="first" r:id="rId11"/>
      <w:type w:val="nextPage"/>
      <w:pgSz w:w="12240" w:h="15840"/>
      <w:pgMar w:left="864" w:right="720" w:gutter="0" w:header="720" w:top="1440" w:footer="60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Dutch Roman   Roman 8) (FW">
    <w:altName w:val=" Por"/>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2</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0"/>
      </w:rPr>
    </w:pPr>
    <w:r>
      <w:rPr>
        <w:rFonts w:cs="Arial Narrow" w:ascii="Arial Narrow" w:hAnsi="Arial Narrow"/>
        <w:sz w:val="10"/>
      </w:rPr>
      <w:fldChar w:fldCharType="begin"/>
    </w:r>
    <w:r>
      <w:rPr>
        <w:sz w:val="10"/>
        <w:rFonts w:cs="Arial Narrow" w:ascii="Arial Narrow" w:hAnsi="Arial Narrow"/>
      </w:rPr>
      <w:instrText xml:space="preserve"> FILENAME \p </w:instrText>
    </w:r>
    <w:r>
      <w:rPr>
        <w:sz w:val="10"/>
        <w:rFonts w:cs="Arial Narrow" w:ascii="Arial Narrow" w:hAnsi="Arial Narrow"/>
      </w:rPr>
      <w:fldChar w:fldCharType="separate"/>
    </w:r>
    <w:r>
      <w:rPr>
        <w:sz w:val="10"/>
        <w:rFonts w:cs="Arial Narrow" w:ascii="Arial Narrow" w:hAnsi="Arial Narrow"/>
      </w:rPr>
      <w:t>/mnt/main-storage/datasets/enron-docs/doc/154conf.doc</w:t>
    </w:r>
    <w:r>
      <w:rPr>
        <w:sz w:val="10"/>
        <w:rFonts w:cs="Arial Narrow" w:ascii="Arial Narrow" w:hAnsi="Arial Narrow"/>
      </w:rPr>
      <w:fldChar w:fldCharType="end"/>
    </w:r>
  </w:p>
  <w:p>
    <w:pPr>
      <w:pStyle w:val="Footer"/>
      <w:rPr>
        <w:rFonts w:ascii="Arial Narrow" w:hAnsi="Arial Narrow" w:cs="Arial Narrow"/>
        <w:sz w:val="10"/>
      </w:rPr>
    </w:pPr>
    <w:r>
      <w:rPr>
        <w:rFonts w:cs="Arial Narrow" w:ascii="Arial Narrow" w:hAnsi="Arial Narrow"/>
        <w:sz w:val="10"/>
      </w:rPr>
      <w:fldChar w:fldCharType="begin"/>
    </w:r>
    <w:r>
      <w:rPr>
        <w:sz w:val="10"/>
        <w:rFonts w:cs="Arial Narrow" w:ascii="Arial Narrow" w:hAnsi="Arial Narrow"/>
      </w:rPr>
      <w:instrText xml:space="preserve"> DATE \@"MM\/dd\/yy" </w:instrText>
    </w:r>
    <w:r>
      <w:rPr>
        <w:sz w:val="10"/>
        <w:rFonts w:cs="Arial Narrow" w:ascii="Arial Narrow" w:hAnsi="Arial Narrow"/>
      </w:rPr>
      <w:fldChar w:fldCharType="separate"/>
    </w:r>
    <w:r>
      <w:rPr>
        <w:sz w:val="10"/>
        <w:rFonts w:cs="Arial Narrow" w:ascii="Arial Narrow" w:hAnsi="Arial Narrow"/>
      </w:rPr>
      <w:t>09/28/25</w:t>
    </w:r>
    <w:r>
      <w:rPr>
        <w:sz w:val="10"/>
        <w:rFonts w:cs="Arial Narrow" w:ascii="Arial Narrow" w:hAnsi="Arial Narrow"/>
      </w:rPr>
      <w:fldChar w:fldCharType="end"/>
    </w:r>
  </w:p>
  <w:p>
    <w:pPr>
      <w:pStyle w:val="Footer"/>
      <w:jc w:val="center"/>
      <w:rPr>
        <w:rFonts w:ascii="Arial Narrow" w:hAnsi="Arial Narrow" w:cs="Arial Narrow"/>
        <w:sz w:val="16"/>
      </w:rPr>
    </w:pPr>
    <w:r>
      <w:rPr>
        <w:rFonts w:cs="Arial Narrow" w:ascii="Arial Narrow" w:hAnsi="Arial Narrow"/>
        <w:sz w:val="16"/>
      </w:rPr>
      <w:t>Annex B-1</w:t>
    </w:r>
  </w:p>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5"/>
      <w:numFmt w:val="decimal"/>
      <w:lvlText w:val="%1."/>
      <w:lvlJc w:val="start"/>
      <w:pPr>
        <w:tabs>
          <w:tab w:val="num" w:pos="720"/>
        </w:tabs>
        <w:ind w:start="720" w:hanging="81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cs="Times"/>
      <w:sz w:val="26"/>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jc w:val="center"/>
    </w:pPr>
    <w:rPr>
      <w:rFonts w:ascii="Times" w:hAnsi="Times" w:cs="Times"/>
      <w:sz w:val="20"/>
      <w:lang w:val="en-CA"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rFonts w:ascii="Times" w:hAnsi="Times" w:cs="Times"/>
      <w:sz w:val="26"/>
    </w:rPr>
  </w:style>
  <w:style w:type="paragraph" w:styleId="Hidden">
    <w:name w:val="Hidden"/>
    <w:basedOn w:val="Normal"/>
    <w:next w:val="Normal"/>
    <w:qFormat/>
    <w:pPr/>
    <w:rPr>
      <w:rFonts w:ascii="Times" w:hAnsi="Times" w:cs="Times"/>
      <w:vanish/>
      <w:color w:val="FF0000"/>
      <w:sz w:val="26"/>
    </w:rPr>
  </w:style>
  <w:style w:type="paragraph" w:styleId="Expanded">
    <w:name w:val="Expanded"/>
    <w:basedOn w:val="Normal"/>
    <w:next w:val="Normal"/>
    <w:qFormat/>
    <w:pPr>
      <w:spacing w:before="0" w:after="240"/>
      <w:jc w:val="center"/>
    </w:pPr>
    <w:rPr>
      <w:rFonts w:ascii="Times" w:hAnsi="Times" w:cs="Times"/>
      <w:b/>
      <w:caps/>
      <w:spacing w:val="60"/>
      <w:sz w:val="26"/>
    </w:rPr>
  </w:style>
  <w:style w:type="paragraph" w:styleId="FOOTNOTE">
    <w:name w:val="FOOTNOTE"/>
    <w:basedOn w:val="Normal"/>
    <w:qFormat/>
    <w:pPr/>
    <w:rPr>
      <w:rFonts w:ascii="Times" w:hAnsi="Times" w:cs="Times"/>
      <w:sz w:val="20"/>
      <w:lang w:val="en-CA" w:eastAsia="en-CA"/>
    </w:rPr>
  </w:style>
  <w:style w:type="paragraph" w:styleId="HIGHLIGHT1">
    <w:name w:val="HIGHLIGHT 1"/>
    <w:basedOn w:val="Normal"/>
    <w:qFormat/>
    <w:pPr/>
    <w:rPr>
      <w:rFonts w:ascii="Times" w:hAnsi="Times" w:cs="Times"/>
      <w:sz w:val="20"/>
      <w:lang w:val="en-CA" w:eastAsia="en-CA"/>
    </w:rPr>
  </w:style>
  <w:style w:type="paragraph" w:styleId="DRAFTON">
    <w:name w:val="DRAFT ON"/>
    <w:basedOn w:val="Normal"/>
    <w:qFormat/>
    <w:pPr>
      <w:jc w:val="end"/>
    </w:pPr>
    <w:rPr>
      <w:rFonts w:ascii="Times" w:hAnsi="Times" w:cs="Times"/>
      <w:sz w:val="20"/>
      <w:lang w:val="en-CA" w:eastAsia="en-CA"/>
    </w:rPr>
  </w:style>
  <w:style w:type="paragraph" w:styleId="DRAFTOFF">
    <w:name w:val="DRAFT OFF"/>
    <w:basedOn w:val="Normal"/>
    <w:qFormat/>
    <w:pPr/>
    <w:rPr>
      <w:rFonts w:ascii="Times" w:hAnsi="Times" w:cs="Times"/>
      <w:sz w:val="20"/>
      <w:lang w:val="en-CA" w:eastAsia="en-CA"/>
    </w:rPr>
  </w:style>
  <w:style w:type="paragraph" w:styleId="LETTERLAND">
    <w:name w:val="LETTER LAND"/>
    <w:basedOn w:val="Normal"/>
    <w:qFormat/>
    <w:pPr/>
    <w:rPr>
      <w:rFonts w:ascii="Times" w:hAnsi="Times" w:cs="Times"/>
      <w:sz w:val="20"/>
      <w:lang w:val="en-CA" w:eastAsia="en-CA"/>
    </w:rPr>
  </w:style>
  <w:style w:type="paragraph" w:styleId="LEGALLAND">
    <w:name w:val="LEGAL LAND"/>
    <w:basedOn w:val="Normal"/>
    <w:qFormat/>
    <w:pPr/>
    <w:rPr>
      <w:rFonts w:ascii="Times" w:hAnsi="Times" w:cs="Times"/>
      <w:sz w:val="20"/>
      <w:lang w:val="en-CA" w:eastAsia="en-CA"/>
    </w:rPr>
  </w:style>
  <w:style w:type="paragraph" w:styleId="LETTERPORT">
    <w:name w:val="LETTER PORT"/>
    <w:basedOn w:val="Normal"/>
    <w:qFormat/>
    <w:pPr/>
    <w:rPr>
      <w:rFonts w:ascii="Times" w:hAnsi="Times" w:cs="Times"/>
      <w:sz w:val="20"/>
      <w:lang w:val="en-CA" w:eastAsia="en-CA"/>
    </w:rPr>
  </w:style>
  <w:style w:type="paragraph" w:styleId="LEGALPORT">
    <w:name w:val="LEGAL PORT"/>
    <w:basedOn w:val="Normal"/>
    <w:qFormat/>
    <w:pPr/>
    <w:rPr>
      <w:rFonts w:ascii="Times" w:hAnsi="Times" w:cs="Times"/>
      <w:sz w:val="20"/>
      <w:lang w:val="en-CA" w:eastAsia="en-CA"/>
    </w:rPr>
  </w:style>
  <w:style w:type="paragraph" w:styleId="TITLE1">
    <w:name w:val="TITLE1"/>
    <w:basedOn w:val="Normal"/>
    <w:qFormat/>
    <w:pPr>
      <w:jc w:val="center"/>
    </w:pPr>
    <w:rPr>
      <w:rFonts w:ascii="Times" w:hAnsi="Times" w:cs="Times"/>
      <w:sz w:val="20"/>
      <w:lang w:val="en-CA" w:eastAsia="en-CA"/>
    </w:rPr>
  </w:style>
  <w:style w:type="paragraph" w:styleId="BLOCKQUOTE">
    <w:name w:val="BLOCK QUOTE"/>
    <w:basedOn w:val="Normal"/>
    <w:qFormat/>
    <w:pPr>
      <w:spacing w:lineRule="atLeast" w:line="240"/>
      <w:ind w:hanging="0" w:start="720" w:end="720"/>
    </w:pPr>
    <w:rPr>
      <w:rFonts w:ascii="Times" w:hAnsi="Times" w:cs="Times"/>
      <w:sz w:val="20"/>
      <w:lang w:val="en-CA" w:eastAsia="en-CA"/>
    </w:rPr>
  </w:style>
  <w:style w:type="paragraph" w:styleId="HIGHLIGHT2">
    <w:name w:val="HIGHLIGHT 2"/>
    <w:basedOn w:val="Normal"/>
    <w:qFormat/>
    <w:pPr/>
    <w:rPr>
      <w:rFonts w:ascii="Times" w:hAnsi="Times" w:cs="Times"/>
      <w:sz w:val="20"/>
      <w:lang w:val="en-CA" w:eastAsia="en-CA"/>
    </w:rPr>
  </w:style>
  <w:style w:type="paragraph" w:styleId="HIGHLIGHT3">
    <w:name w:val="HIGHLIGHT 3"/>
    <w:basedOn w:val="Normal"/>
    <w:qFormat/>
    <w:pPr/>
    <w:rPr>
      <w:rFonts w:ascii="Times" w:hAnsi="Times" w:cs="Times"/>
      <w:sz w:val="20"/>
      <w:lang w:val="en-CA" w:eastAsia="en-CA"/>
    </w:rPr>
  </w:style>
  <w:style w:type="paragraph" w:styleId="LETTERHEAD">
    <w:name w:val="LETTERHEAD"/>
    <w:basedOn w:val="Normal"/>
    <w:qFormat/>
    <w:pPr>
      <w:jc w:val="center"/>
    </w:pPr>
    <w:rPr>
      <w:rFonts w:ascii="Times" w:hAnsi="Times" w:cs="Times"/>
      <w:sz w:val="20"/>
      <w:lang w:val="en-CA" w:eastAsia="en-CA"/>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w:hAnsi="Times" w:cs="Times"/>
      <w:sz w:val="20"/>
      <w:lang w:val="en-CA" w:eastAsia="en-CA"/>
    </w:rPr>
  </w:style>
  <w:style w:type="paragraph" w:styleId="MEMORANDUM">
    <w:name w:val="MEMORANDUM"/>
    <w:basedOn w:val="Normal"/>
    <w:qFormat/>
    <w:pPr>
      <w:jc w:val="center"/>
    </w:pPr>
    <w:rPr>
      <w:rFonts w:ascii="Times" w:hAnsi="Times" w:cs="Times"/>
      <w:sz w:val="20"/>
      <w:lang w:val="en-CA" w:eastAsia="en-CA"/>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w:hAnsi="Times" w:cs="Times"/>
      <w:sz w:val="20"/>
      <w:lang w:val="en-CA" w:eastAsia="en-CA"/>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w:hAnsi="Times" w:cs="Times"/>
      <w:sz w:val="20"/>
      <w:lang w:val="en-CA" w:eastAsia="en-CA"/>
    </w:rPr>
  </w:style>
  <w:style w:type="paragraph" w:styleId="INVOICEHEAD">
    <w:name w:val="INVOICE HEAD"/>
    <w:basedOn w:val="Normal"/>
    <w:qFormat/>
    <w:pPr>
      <w:tabs>
        <w:tab w:val="clear" w:pos="720"/>
        <w:tab w:val="left" w:pos="4680" w:leader="none"/>
      </w:tabs>
      <w:jc w:val="center"/>
    </w:pPr>
    <w:rPr>
      <w:rFonts w:ascii="Times" w:hAnsi="Times" w:cs="Times"/>
      <w:sz w:val="20"/>
      <w:lang w:val="en-CA" w:eastAsia="en-CA"/>
    </w:rPr>
  </w:style>
  <w:style w:type="paragraph" w:styleId="SMALL">
    <w:name w:val="SMALL"/>
    <w:basedOn w:val="Normal"/>
    <w:qFormat/>
    <w:pPr/>
    <w:rPr>
      <w:rFonts w:ascii="Times" w:hAnsi="Times" w:cs="Times"/>
      <w:sz w:val="20"/>
      <w:lang w:val="en-CA" w:eastAsia="en-CA"/>
    </w:rPr>
  </w:style>
  <w:style w:type="paragraph" w:styleId="FINE">
    <w:name w:val="FINE"/>
    <w:basedOn w:val="Normal"/>
    <w:qFormat/>
    <w:pPr/>
    <w:rPr>
      <w:rFonts w:ascii="Times" w:hAnsi="Times" w:cs="Times"/>
      <w:sz w:val="20"/>
      <w:lang w:val="en-CA" w:eastAsia="en-CA"/>
    </w:rPr>
  </w:style>
  <w:style w:type="paragraph" w:styleId="LARGE">
    <w:name w:val="LARGE"/>
    <w:basedOn w:val="Normal"/>
    <w:qFormat/>
    <w:pPr/>
    <w:rPr>
      <w:rFonts w:ascii="Times" w:hAnsi="Times" w:cs="Times"/>
      <w:sz w:val="20"/>
      <w:lang w:val="en-CA" w:eastAsia="en-CA"/>
    </w:rPr>
  </w:style>
  <w:style w:type="paragraph" w:styleId="EXTRALARGE">
    <w:name w:val="EXTRA LARGE"/>
    <w:basedOn w:val="Normal"/>
    <w:qFormat/>
    <w:pPr/>
    <w:rPr>
      <w:rFonts w:ascii="Times" w:hAnsi="Times" w:cs="Times"/>
      <w:sz w:val="20"/>
      <w:lang w:val="en-CA" w:eastAsia="en-CA"/>
    </w:rPr>
  </w:style>
  <w:style w:type="paragraph" w:styleId="VERYLARGE">
    <w:name w:val="VERY LARGE"/>
    <w:basedOn w:val="Normal"/>
    <w:qFormat/>
    <w:pPr/>
    <w:rPr>
      <w:rFonts w:ascii="Times" w:hAnsi="Times" w:cs="Times"/>
      <w:sz w:val="20"/>
      <w:lang w:val="en-CA" w:eastAsia="en-CA"/>
    </w:rPr>
  </w:style>
  <w:style w:type="paragraph" w:styleId="ENVELOPE">
    <w:name w:val="ENVELOPE"/>
    <w:basedOn w:val="Normal"/>
    <w:qFormat/>
    <w:pPr/>
    <w:rPr>
      <w:rFonts w:ascii="Times" w:hAnsi="Times" w:cs="Times"/>
      <w:sz w:val="20"/>
      <w:lang w:val="en-CA" w:eastAsia="en-CA"/>
    </w:rPr>
  </w:style>
  <w:style w:type="paragraph" w:styleId="RightPar">
    <w:name w:val="Right Par"/>
    <w:basedOn w:val="Normal"/>
    <w:qFormat/>
    <w:pPr>
      <w:ind w:hanging="0" w:start="720" w:end="0"/>
    </w:pPr>
    <w:rPr>
      <w:rFonts w:ascii="Times" w:hAnsi="Times" w:cs="Times"/>
      <w:sz w:val="20"/>
      <w:lang w:val="en-CA" w:eastAsia="en-CA"/>
    </w:rPr>
  </w:style>
  <w:style w:type="paragraph" w:styleId="Bibliogrphy">
    <w:name w:val="Bibliogrphy"/>
    <w:basedOn w:val="Normal"/>
    <w:qFormat/>
    <w:pPr>
      <w:ind w:firstLine="720" w:start="720" w:end="0"/>
    </w:pPr>
    <w:rPr>
      <w:rFonts w:ascii="Times" w:hAnsi="Times" w:cs="Times"/>
      <w:sz w:val="20"/>
      <w:lang w:val="en-CA" w:eastAsia="en-CA"/>
    </w:rPr>
  </w:style>
  <w:style w:type="paragraph" w:styleId="Subheading">
    <w:name w:val="Subheading"/>
    <w:basedOn w:val="Normal"/>
    <w:qFormat/>
    <w:pPr/>
    <w:rPr>
      <w:rFonts w:ascii="Times" w:hAnsi="Times" w:cs="Times"/>
      <w:sz w:val="20"/>
      <w:lang w:val="en-CA" w:eastAsia="en-CA"/>
    </w:rPr>
  </w:style>
  <w:style w:type="paragraph" w:styleId="Pleading">
    <w:name w:val="Pleading"/>
    <w:basedOn w:val="Normal"/>
    <w:qFormat/>
    <w:pPr>
      <w:tabs>
        <w:tab w:val="clear" w:pos="720"/>
        <w:tab w:val="right" w:pos="288" w:leader="none"/>
      </w:tabs>
    </w:pPr>
    <w:rPr>
      <w:rFonts w:ascii="Times" w:hAnsi="Times" w:cs="Times"/>
      <w:sz w:val="20"/>
      <w:lang w:val="en-CA" w:eastAsia="en-CA"/>
    </w:rPr>
  </w:style>
  <w:style w:type="paragraph" w:styleId="INVOICEHD2">
    <w:name w:val="INVOICE HD2"/>
    <w:basedOn w:val="Normal"/>
    <w:qFormat/>
    <w:pPr>
      <w:tabs>
        <w:tab w:val="clear" w:pos="720"/>
        <w:tab w:val="left" w:pos="4680" w:leader="none"/>
      </w:tabs>
      <w:jc w:val="center"/>
    </w:pPr>
    <w:rPr>
      <w:rFonts w:ascii="Times" w:hAnsi="Times" w:cs="Times"/>
      <w:sz w:val="20"/>
      <w:lang w:val="en-CA" w:eastAsia="en-CA"/>
    </w:rPr>
  </w:style>
  <w:style w:type="paragraph" w:styleId="1">
    <w:name w:val="1"/>
    <w:basedOn w:val="Normal"/>
    <w:qFormat/>
    <w:pPr/>
    <w:rPr>
      <w:rFonts w:ascii="Times" w:hAnsi="Times" w:cs="Times"/>
      <w:sz w:val="20"/>
      <w:lang w:val="en-CA" w:eastAsia="en-CA"/>
    </w:rPr>
  </w:style>
  <w:style w:type="paragraph" w:styleId="DocInit">
    <w:name w:val="Doc Init"/>
    <w:basedOn w:val="Normal"/>
    <w:qFormat/>
    <w:pPr/>
    <w:rPr>
      <w:rFonts w:ascii="Dutch Roman   Roman 8) (FW, Por;Times New Roman" w:hAnsi="Dutch Roman   Roman 8) (FW, Por;Times New Roman" w:cs="Dutch Roman   Roman 8) (FW, Por;Times New Roman"/>
    </w:rPr>
  </w:style>
  <w:style w:type="paragraph" w:styleId="TechInit">
    <w:name w:val="Tech Init"/>
    <w:basedOn w:val="Normal"/>
    <w:qFormat/>
    <w:pPr/>
    <w:rPr>
      <w:rFonts w:ascii="Dutch Roman   Roman 8) (FW, Por;Times New Roman" w:hAnsi="Dutch Roman   Roman 8) (FW, Por;Times New Roman" w:cs="Dutch Roman   Roman 8) (FW, Por;Times New Roman"/>
    </w:rPr>
  </w:style>
  <w:style w:type="paragraph" w:styleId="Technical">
    <w:name w:val="Technical"/>
    <w:basedOn w:val="Normal"/>
    <w:qFormat/>
    <w:pPr/>
    <w:rPr>
      <w:rFonts w:ascii="Dutch Roman   Roman 8) (FW, Por;Times New Roman" w:hAnsi="Dutch Roman   Roman 8) (FW, Por;Times New Roman" w:cs="Dutch Roman   Roman 8) (FW, Por;Times New Roman"/>
    </w:rPr>
  </w:style>
  <w:style w:type="paragraph" w:styleId="Document">
    <w:name w:val="Document"/>
    <w:basedOn w:val="Normal"/>
    <w:qFormat/>
    <w:pPr/>
    <w:rPr>
      <w:rFonts w:ascii="Dutch Roman   Roman 8) (FW, Por;Times New Roman" w:hAnsi="Dutch Roman   Roman 8) (FW, Por;Times New Roman" w:cs="Dutch Roman   Roman 8) (FW, Por;Times New Roman"/>
    </w:rPr>
  </w:style>
  <w:style w:type="paragraph" w:styleId="FootnoteText">
    <w:name w:val="footnote text"/>
    <w:basedOn w:val="Normal"/>
    <w:pPr/>
    <w:rPr>
      <w:sz w:val="22"/>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3">
    <w:name w:val="Body Text Indent 3"/>
    <w:basedOn w:val="Normal"/>
    <w:qFormat/>
    <w:pPr>
      <w:ind w:hanging="0" w:start="720" w:end="0"/>
      <w:jc w:val="both"/>
    </w:pPr>
    <w:rPr>
      <w:sz w:val="22"/>
    </w:rPr>
  </w:style>
  <w:style w:type="paragraph" w:styleId="Title">
    <w:name w:val="Title"/>
    <w:basedOn w:val="Normal"/>
    <w:next w:val="BodyText"/>
    <w:qFormat/>
    <w:pPr>
      <w:jc w:val="center"/>
    </w:pPr>
    <w:rPr>
      <w:rFonts w:ascii="Arial Narrow" w:hAnsi="Arial Narrow" w:cs="Arial Narrow"/>
      <w:b/>
      <w:sz w:val="20"/>
      <w:u w:val="single"/>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1999-11-12T17:12:00Z</dcterms:created>
  <dc:creator>tjones</dc:creator>
  <dc:description/>
  <dc:language>en-CA</dc:language>
  <cp:lastModifiedBy>tjones</cp:lastModifiedBy>
  <cp:lastPrinted>1999-11-12T15:31:00Z</cp:lastPrinted>
  <dcterms:modified xsi:type="dcterms:W3CDTF">1999-11-12T19:05:00Z</dcterms:modified>
  <cp:revision>24</cp:revision>
  <dc:subject/>
  <dc:title>ANNEX B</dc:title>
</cp:coreProperties>
</file>