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ANNEX B</w:t>
      </w:r>
    </w:p>
    <w:p>
      <w:pPr>
        <w:pStyle w:val="Normal"/>
        <w:widowControl/>
        <w:jc w:val="center"/>
        <w:rPr>
          <w:rFonts w:ascii="Arial Narrow" w:hAnsi="Arial Narrow" w:cs="Arial Narrow"/>
          <w:b/>
          <w:sz w:val="20"/>
          <w:u w:val="single"/>
        </w:rPr>
      </w:pPr>
      <w:r>
        <w:rPr>
          <w:rFonts w:cs="Arial Narrow" w:ascii="Arial Narrow" w:hAnsi="Arial Narrow"/>
          <w:b/>
          <w:sz w:val="20"/>
          <w:u w:val="single"/>
        </w:rPr>
      </w:r>
    </w:p>
    <w:p>
      <w:pPr>
        <w:pStyle w:val="Normal"/>
        <w:widowControl/>
        <w:jc w:val="center"/>
        <w:rPr>
          <w:rFonts w:ascii="Arial Narrow" w:hAnsi="Arial Narrow" w:cs="Arial Narrow"/>
          <w:b/>
          <w:sz w:val="20"/>
        </w:rPr>
      </w:pPr>
      <w:r>
        <w:rPr>
          <w:rFonts w:cs="Arial Narrow" w:ascii="Arial Narrow" w:hAnsi="Arial Narrow"/>
          <w:b/>
          <w:sz w:val="20"/>
        </w:rPr>
        <w:t>CREDIT AND OTHER SPECIAL PROVISIONS</w:t>
      </w:r>
    </w:p>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b/>
          <w:sz w:val="20"/>
        </w:rPr>
      </w:pPr>
      <w:r>
        <w:rPr>
          <w:rFonts w:cs="Arial Narrow" w:ascii="Arial Narrow" w:hAnsi="Arial Narrow"/>
          <w:b/>
          <w:sz w:val="20"/>
        </w:rPr>
        <w:t>Catalytica, Inc.</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Derivative Transactions between the parties except as otherwise specified in a Confirmation to a Transaction.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widowContro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widowContro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w:t>
      </w:r>
      <w:r>
        <w:rPr>
          <w:rFonts w:cs="Arial Narrow" w:ascii="Arial Narrow" w:hAnsi="Arial Narrow"/>
          <w:sz w:val="18"/>
        </w:rPr>
        <w:t>(g)</w:t>
        <w:tab/>
        <w:t>the failure in the payment when due (whether at maturity, by acceleration, or otherwise) of any obligation in respect of borrowed money, in an aggregate amount in excess of $10,000,000 with respect to Counterparty, or $50,000,000 with respect to ECT, and the failure to remedy the failure within any applicable grace period, or the failure by the Defaulting Party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w:t>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/mnt/main-storage/datasets/enron-docs/doc/153conf.doc</w:t>
    </w:r>
    <w:r>
      <w:rPr>
        <w:sz w:val="10"/>
      </w:rPr>
      <w:fldChar w:fldCharType="end"/>
    </w:r>
  </w:p>
  <w:p>
    <w:pPr>
      <w:pStyle w:val="Footer"/>
      <w:rPr>
        <w:sz w:val="10"/>
      </w:rPr>
    </w:pPr>
    <w:r>
      <w:rPr>
        <w:sz w:val="10"/>
      </w:rPr>
      <w:fldChar w:fldCharType="begin"/>
    </w:r>
    <w:r>
      <w:rPr>
        <w:sz w:val="10"/>
      </w:rPr>
      <w:instrText xml:space="preserve"> DATE \@"MM\/dd\/yy" </w:instrText>
    </w:r>
    <w:r>
      <w:rPr>
        <w:sz w:val="10"/>
      </w:rPr>
      <w:fldChar w:fldCharType="separate"/>
    </w:r>
    <w:r>
      <w:rPr>
        <w:sz w:val="10"/>
      </w:rPr>
      <w:t>09/28/25</w:t>
    </w:r>
    <w:r>
      <w:rPr>
        <w:sz w:val="1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sz w:val="20"/>
    </w:rPr>
  </w:style>
  <w:style w:type="paragraph" w:styleId="BodyText">
    <w:name w:val="Body Text"/>
    <w:basedOn w:val="Normal"/>
    <w:pPr>
      <w:widowControl/>
      <w:spacing w:lineRule="exact" w:line="240" w:before="240" w:after="0"/>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FOOTNOTE">
    <w:name w:val="FOOTNOTE"/>
    <w:basedOn w:val="Normal"/>
    <w:qFormat/>
    <w:pPr/>
    <w:rPr>
      <w:sz w:val="20"/>
    </w:rPr>
  </w:style>
  <w:style w:type="paragraph" w:styleId="HIGHLIGHT1">
    <w:name w:val="HIGHLIGHT 1"/>
    <w:basedOn w:val="Normal"/>
    <w:qFormat/>
    <w:pPr/>
    <w:rPr>
      <w:sz w:val="20"/>
    </w:rPr>
  </w:style>
  <w:style w:type="paragraph" w:styleId="DRAFTON">
    <w:name w:val="DRAFT ON"/>
    <w:basedOn w:val="Normal"/>
    <w:qFormat/>
    <w:pPr>
      <w:jc w:val="end"/>
    </w:pPr>
    <w:rPr>
      <w:sz w:val="20"/>
    </w:rPr>
  </w:style>
  <w:style w:type="paragraph" w:styleId="DRAFTOFF">
    <w:name w:val="DRAFT OFF"/>
    <w:basedOn w:val="Normal"/>
    <w:qFormat/>
    <w:pPr/>
    <w:rPr>
      <w:sz w:val="20"/>
    </w:rPr>
  </w:style>
  <w:style w:type="paragraph" w:styleId="LETTERLAND">
    <w:name w:val="LETTER LAND"/>
    <w:basedOn w:val="Normal"/>
    <w:qFormat/>
    <w:pPr/>
    <w:rPr>
      <w:sz w:val="20"/>
    </w:rPr>
  </w:style>
  <w:style w:type="paragraph" w:styleId="LEGALLAND">
    <w:name w:val="LEGAL LAND"/>
    <w:basedOn w:val="Normal"/>
    <w:qFormat/>
    <w:pPr/>
    <w:rPr>
      <w:sz w:val="20"/>
    </w:rPr>
  </w:style>
  <w:style w:type="paragraph" w:styleId="LETTERPORT">
    <w:name w:val="LETTER PORT"/>
    <w:basedOn w:val="Normal"/>
    <w:qFormat/>
    <w:pPr/>
    <w:rPr>
      <w:sz w:val="20"/>
    </w:rPr>
  </w:style>
  <w:style w:type="paragraph" w:styleId="LEGALPORT">
    <w:name w:val="LEGAL PORT"/>
    <w:basedOn w:val="Normal"/>
    <w:qFormat/>
    <w:pPr/>
    <w:rPr>
      <w:sz w:val="20"/>
    </w:rPr>
  </w:style>
  <w:style w:type="paragraph" w:styleId="TITLE1">
    <w:name w:val="TITLE1"/>
    <w:basedOn w:val="Normal"/>
    <w:qFormat/>
    <w:pPr>
      <w:jc w:val="center"/>
    </w:pPr>
    <w:rPr>
      <w:sz w:val="20"/>
    </w:rPr>
  </w:style>
  <w:style w:type="paragraph" w:styleId="BLOCKQUOTE">
    <w:name w:val="BLOCK QUOTE"/>
    <w:basedOn w:val="Normal"/>
    <w:qFormat/>
    <w:pPr>
      <w:spacing w:lineRule="atLeast" w:line="240"/>
      <w:ind w:hanging="0" w:start="720" w:end="720"/>
    </w:pPr>
    <w:rPr>
      <w:sz w:val="20"/>
    </w:rPr>
  </w:style>
  <w:style w:type="paragraph" w:styleId="HIGHLIGHT2">
    <w:name w:val="HIGHLIGHT 2"/>
    <w:basedOn w:val="Normal"/>
    <w:qFormat/>
    <w:pPr/>
    <w:rPr>
      <w:sz w:val="20"/>
    </w:rPr>
  </w:style>
  <w:style w:type="paragraph" w:styleId="HIGHLIGHT3">
    <w:name w:val="HIGHLIGHT 3"/>
    <w:basedOn w:val="Normal"/>
    <w:qFormat/>
    <w:pPr/>
    <w:rPr>
      <w:sz w:val="20"/>
    </w:rPr>
  </w:style>
  <w:style w:type="paragraph" w:styleId="LETTERHEAD">
    <w:name w:val="LETTERHEAD"/>
    <w:basedOn w:val="Normal"/>
    <w:qFormat/>
    <w:pPr>
      <w:jc w:val="center"/>
    </w:pPr>
    <w:rPr>
      <w:sz w:val="20"/>
    </w:rPr>
  </w:style>
  <w:style w:type="paragraph" w:styleId="INVOICEFEE">
    <w:name w:val="INVOICE FEE"/>
    <w:basedOn w:val="Normal"/>
    <w:qFormat/>
    <w:pPr>
      <w:tabs>
        <w:tab w:val="clear" w:pos="720"/>
        <w:tab w:val="left" w:pos="432" w:leader="none"/>
        <w:tab w:val="left" w:pos="1152" w:leader="none"/>
        <w:tab w:val="decimal" w:pos="9864" w:leader="none"/>
      </w:tabs>
    </w:pPr>
    <w:rPr>
      <w:sz w:val="20"/>
    </w:rPr>
  </w:style>
  <w:style w:type="paragraph" w:styleId="MEMORANDUM">
    <w:name w:val="MEMORANDUM"/>
    <w:basedOn w:val="Normal"/>
    <w:qFormat/>
    <w:pPr>
      <w:jc w:val="center"/>
    </w:pPr>
    <w:rPr>
      <w:sz w:val="20"/>
    </w:rPr>
  </w:style>
  <w:style w:type="paragraph" w:styleId="INVOICEEXP">
    <w:name w:val="INVOICE EXP"/>
    <w:basedOn w:val="Normal"/>
    <w:qFormat/>
    <w:pPr>
      <w:tabs>
        <w:tab w:val="clear" w:pos="720"/>
        <w:tab w:val="left" w:pos="432" w:leader="none"/>
        <w:tab w:val="left" w:pos="1152" w:leader="none"/>
        <w:tab w:val="decimal" w:pos="9864" w:leader="none"/>
      </w:tabs>
    </w:pPr>
    <w:rPr>
      <w:sz w:val="20"/>
    </w:rPr>
  </w:style>
  <w:style w:type="paragraph" w:styleId="INVOICETOT">
    <w:name w:val="INVOICE TOT"/>
    <w:basedOn w:val="Normal"/>
    <w:qFormat/>
    <w:pPr>
      <w:tabs>
        <w:tab w:val="clear" w:pos="720"/>
        <w:tab w:val="left" w:pos="432" w:leader="none"/>
        <w:tab w:val="left" w:pos="1152" w:leader="none"/>
        <w:tab w:val="decimal" w:pos="9864" w:leader="none"/>
      </w:tabs>
    </w:pPr>
    <w:rPr>
      <w:sz w:val="20"/>
    </w:rPr>
  </w:style>
  <w:style w:type="paragraph" w:styleId="INVOICEHEAD">
    <w:name w:val="INVOICE HEAD"/>
    <w:basedOn w:val="Normal"/>
    <w:qFormat/>
    <w:pPr>
      <w:tabs>
        <w:tab w:val="clear" w:pos="720"/>
        <w:tab w:val="left" w:pos="4680" w:leader="none"/>
      </w:tabs>
      <w:jc w:val="center"/>
    </w:pPr>
    <w:rPr>
      <w:sz w:val="20"/>
    </w:rPr>
  </w:style>
  <w:style w:type="paragraph" w:styleId="SMALL">
    <w:name w:val="SMALL"/>
    <w:basedOn w:val="Normal"/>
    <w:qFormat/>
    <w:pPr/>
    <w:rPr>
      <w:sz w:val="20"/>
    </w:rPr>
  </w:style>
  <w:style w:type="paragraph" w:styleId="FINE">
    <w:name w:val="FINE"/>
    <w:basedOn w:val="Normal"/>
    <w:qFormat/>
    <w:pPr/>
    <w:rPr>
      <w:sz w:val="20"/>
    </w:rPr>
  </w:style>
  <w:style w:type="paragraph" w:styleId="LARGE">
    <w:name w:val="LARGE"/>
    <w:basedOn w:val="Normal"/>
    <w:qFormat/>
    <w:pPr/>
    <w:rPr>
      <w:sz w:val="20"/>
    </w:rPr>
  </w:style>
  <w:style w:type="paragraph" w:styleId="EXTRALARGE">
    <w:name w:val="EXTRA LARGE"/>
    <w:basedOn w:val="Normal"/>
    <w:qFormat/>
    <w:pPr/>
    <w:rPr>
      <w:sz w:val="20"/>
    </w:rPr>
  </w:style>
  <w:style w:type="paragraph" w:styleId="VERYLARGE">
    <w:name w:val="VERY LARGE"/>
    <w:basedOn w:val="Normal"/>
    <w:qFormat/>
    <w:pPr/>
    <w:rPr>
      <w:sz w:val="20"/>
    </w:rPr>
  </w:style>
  <w:style w:type="paragraph" w:styleId="ENVELOPE">
    <w:name w:val="ENVELOPE"/>
    <w:basedOn w:val="Normal"/>
    <w:qFormat/>
    <w:pPr/>
    <w:rPr>
      <w:sz w:val="20"/>
    </w:rPr>
  </w:style>
  <w:style w:type="paragraph" w:styleId="RightPar">
    <w:name w:val="Right Par"/>
    <w:basedOn w:val="Normal"/>
    <w:qFormat/>
    <w:pPr>
      <w:ind w:hanging="0" w:start="720" w:end="0"/>
    </w:pPr>
    <w:rPr>
      <w:sz w:val="20"/>
    </w:rPr>
  </w:style>
  <w:style w:type="paragraph" w:styleId="Bibliogrphy">
    <w:name w:val="Bibliogrphy"/>
    <w:basedOn w:val="Normal"/>
    <w:qFormat/>
    <w:pPr>
      <w:ind w:firstLine="720" w:start="720" w:end="0"/>
    </w:pPr>
    <w:rPr>
      <w:sz w:val="20"/>
    </w:rPr>
  </w:style>
  <w:style w:type="paragraph" w:styleId="Subheading">
    <w:name w:val="Subheading"/>
    <w:basedOn w:val="Normal"/>
    <w:qFormat/>
    <w:pPr/>
    <w:rPr>
      <w:sz w:val="20"/>
    </w:rPr>
  </w:style>
  <w:style w:type="paragraph" w:styleId="Pleading">
    <w:name w:val="Pleading"/>
    <w:basedOn w:val="Normal"/>
    <w:qFormat/>
    <w:pPr>
      <w:tabs>
        <w:tab w:val="clear" w:pos="720"/>
        <w:tab w:val="right" w:pos="288" w:leader="none"/>
      </w:tabs>
    </w:pPr>
    <w:rPr>
      <w:sz w:val="20"/>
    </w:rPr>
  </w:style>
  <w:style w:type="paragraph" w:styleId="INVOICEHD2">
    <w:name w:val="INVOICE HD2"/>
    <w:basedOn w:val="Normal"/>
    <w:qFormat/>
    <w:pPr>
      <w:tabs>
        <w:tab w:val="clear" w:pos="720"/>
        <w:tab w:val="left" w:pos="4680" w:leader="none"/>
      </w:tabs>
      <w:jc w:val="center"/>
    </w:pPr>
    <w:rPr>
      <w:sz w:val="20"/>
    </w:rPr>
  </w:style>
  <w:style w:type="paragraph" w:styleId="1">
    <w:name w:val="1"/>
    <w:basedOn w:val="Normal"/>
    <w:qFormat/>
    <w:pPr/>
    <w:rPr>
      <w:sz w:val="20"/>
    </w:rPr>
  </w:style>
  <w:style w:type="paragraph" w:styleId="DocInit">
    <w:name w:val="Doc Init"/>
    <w:basedOn w:val="Normal"/>
    <w:qFormat/>
    <w:pPr/>
    <w:rPr>
      <w:rFonts w:ascii="Dutch Roman   Roman 8) (FW, Por;Times New Roman" w:hAnsi="Dutch Roman   Roman 8) (FW, Por;Times New Roman" w:cs="Dutch Roman   Roman 8) (FW, Por;Times New Roman"/>
      <w:sz w:val="24"/>
    </w:rPr>
  </w:style>
  <w:style w:type="paragraph" w:styleId="TechInit">
    <w:name w:val="Tech Init"/>
    <w:basedOn w:val="Normal"/>
    <w:qFormat/>
    <w:pPr/>
    <w:rPr>
      <w:rFonts w:ascii="Dutch Roman   Roman 8) (FW, Por;Times New Roman" w:hAnsi="Dutch Roman   Roman 8) (FW, Por;Times New Roman" w:cs="Dutch Roman   Roman 8) (FW, Por;Times New Roman"/>
      <w:sz w:val="24"/>
    </w:rPr>
  </w:style>
  <w:style w:type="paragraph" w:styleId="Technical">
    <w:name w:val="Technical"/>
    <w:basedOn w:val="Normal"/>
    <w:qFormat/>
    <w:pPr/>
    <w:rPr>
      <w:rFonts w:ascii="Dutch Roman   Roman 8) (FW, Por;Times New Roman" w:hAnsi="Dutch Roman   Roman 8) (FW, Por;Times New Roman" w:cs="Dutch Roman   Roman 8) (FW, Por;Times New Roman"/>
      <w:sz w:val="24"/>
    </w:rPr>
  </w:style>
  <w:style w:type="paragraph" w:styleId="Document">
    <w:name w:val="Document"/>
    <w:basedOn w:val="Normal"/>
    <w:qFormat/>
    <w:pPr/>
    <w:rPr>
      <w:rFonts w:ascii="Dutch Roman   Roman 8) (FW, Por;Times New Roman" w:hAnsi="Dutch Roman   Roman 8) (FW, Por;Times New Roman" w:cs="Dutch Roman   Roman 8) (FW, Por;Times New Roman"/>
      <w:sz w:val="24"/>
    </w:rPr>
  </w:style>
  <w:style w:type="paragraph" w:styleId="Title">
    <w:name w:val="Title"/>
    <w:basedOn w:val="Normal"/>
    <w:next w:val="BodyText"/>
    <w:qFormat/>
    <w:pPr>
      <w:widowControl/>
      <w:jc w:val="center"/>
    </w:pPr>
    <w:rPr>
      <w:rFonts w:ascii="Arial Narrow" w:hAnsi="Arial Narrow" w:cs="Arial Narrow"/>
      <w:b/>
      <w:sz w:val="20"/>
      <w:u w:val="single"/>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1999-08-12T19:44:00Z</dcterms:created>
  <dc:creator>ECT</dc:creator>
  <dc:description/>
  <cp:keywords>credit provisions</cp:keywords>
  <dc:language>en-CA</dc:language>
  <cp:lastModifiedBy>tjones</cp:lastModifiedBy>
  <cp:lastPrinted>1999-08-12T17:18:00Z</cp:lastPrinted>
  <dcterms:modified xsi:type="dcterms:W3CDTF">1999-08-12T19:49:00Z</dcterms:modified>
  <cp:revision>5</cp:revision>
  <dc:subject>Credit Provisions </dc:subject>
  <dc:title>Annex B credit provisions</dc:title>
</cp:coreProperties>
</file>