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rPr>
      </w:pPr>
      <w:r>
        <w:rPr>
          <w:rFonts w:cs="Arial Narrow" w:ascii="Arial Narrow" w:hAnsi="Arial Narrow"/>
          <w:b/>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caps/>
          <w:sz w:val="18"/>
        </w:rPr>
        <w:t>Consolidated Edison company of new york, inc</w:t>
      </w:r>
      <w:r>
        <w:rPr>
          <w:rFonts w:cs="Arial Narrow" w:ascii="Arial Narrow" w:hAnsi="Arial Narrow"/>
          <w:b/>
          <w:sz w:val="18"/>
        </w:rPr>
        <w: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$100,000,000 with respect to Counterparty, $100,000,000 with respect to ENA, and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sz w:val="18"/>
        </w:rPr>
      </w:pPr>
      <w:r>
        <w:rPr>
          <w:rFonts w:cs="Arial Narrow" w:ascii="Arial Narrow" w:hAnsi="Arial Narrow"/>
          <w:b/>
          <w:sz w:val="18"/>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Services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Within one (1) Business Day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Counterparty and ENA, only if Counterparty and ENA’s Credit Support Provider’s annual consolidated financial statements are not available on “EDGAR” or Counterparty’s home page on the World Wide Web at www.conedison.com or ENA’s Credit Support Provider’s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the parties if quarterly unaudited consolidated financial statements are not available on “EDGAR” or the respective home pages on the World Wide Web; and (iii) such other publicly available financial information as the other party may reasonably request.” </w:t>
      </w:r>
    </w:p>
    <w:p>
      <w:pPr>
        <w:pStyle w:val="Normal"/>
        <w:jc w:val="both"/>
        <w:rPr>
          <w:rFonts w:ascii="Arial Narrow" w:hAnsi="Arial Narrow" w:cs="Arial Narrow"/>
          <w:sz w:val="18"/>
        </w:rPr>
      </w:pPr>
      <w:r>
        <w:rPr>
          <w:rFonts w:cs="Arial Narrow" w:ascii="Arial Narrow" w:hAnsi="Arial Narrow"/>
          <w:sz w:val="18"/>
        </w:rPr>
      </w:r>
    </w:p>
    <w:p>
      <w:pPr>
        <w:pStyle w:val="Normal"/>
        <w:ind w:start="-90" w:end="0"/>
        <w:rPr/>
      </w:pPr>
      <w:r>
        <w:rPr>
          <w:rFonts w:cs="Arial Narrow" w:ascii="Arial Narrow" w:hAnsi="Arial Narrow"/>
          <w:sz w:val="18"/>
        </w:rPr>
        <w:t>5.</w:t>
        <w:tab/>
        <w:t xml:space="preserve">Section 7 of </w:t>
      </w:r>
      <w:r>
        <w:rPr>
          <w:rFonts w:cs="Arial Narrow" w:ascii="Arial Narrow" w:hAnsi="Arial Narrow"/>
          <w:sz w:val="18"/>
          <w:u w:val="single"/>
        </w:rPr>
        <w:t>Annex A</w:t>
      </w:r>
      <w:r>
        <w:rPr>
          <w:rFonts w:cs="Arial Narrow" w:ascii="Arial Narrow" w:hAnsi="Arial Narrow"/>
          <w:sz w:val="18"/>
        </w:rPr>
        <w:t xml:space="preserve"> to the Confirmation is hereby deleted in its entirety and replaced with the following:</w:t>
      </w:r>
    </w:p>
    <w:p>
      <w:pPr>
        <w:pStyle w:val="Normal"/>
        <w:rPr>
          <w:rFonts w:ascii="Arial Narrow" w:hAnsi="Arial Narrow" w:cs="Arial Narrow"/>
          <w:sz w:val="18"/>
        </w:rPr>
      </w:pPr>
      <w:r>
        <w:rPr>
          <w:rFonts w:cs="Arial Narrow" w:ascii="Arial Narrow" w:hAnsi="Arial Narrow"/>
          <w:sz w:val="18"/>
        </w:rPr>
      </w:r>
    </w:p>
    <w:p>
      <w:pPr>
        <w:pStyle w:val="Normal"/>
        <w:ind w:start="360" w:end="0"/>
        <w:rPr>
          <w:rFonts w:ascii="Arial Narrow" w:hAnsi="Arial Narrow" w:cs="Arial Narrow"/>
          <w:sz w:val="18"/>
        </w:rPr>
      </w:pPr>
      <w:r>
        <w:rPr>
          <w:rFonts w:cs="Arial Narrow" w:ascii="Arial Narrow" w:hAnsi="Arial Narrow"/>
          <w:sz w:val="18"/>
        </w:rPr>
        <w:t>“</w:t>
      </w:r>
      <w:r>
        <w:rPr>
          <w:rFonts w:cs="Arial Narrow" w:ascii="Arial Narrow" w:hAnsi="Arial Narrow"/>
          <w:sz w:val="18"/>
        </w:rPr>
        <w:t>If a Market Disruption Event has occurred and is continuing on any Trading Day,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by taking the average of three dealer quotations obtained from the following dealers:</w:t>
      </w:r>
    </w:p>
    <w:p>
      <w:pPr>
        <w:pStyle w:val="Normal"/>
        <w:ind w:start="720" w:end="0"/>
        <w:rPr>
          <w:rFonts w:ascii="Arial Narrow" w:hAnsi="Arial Narrow" w:cs="Arial Narrow"/>
          <w:sz w:val="18"/>
        </w:rPr>
      </w:pPr>
      <w:r>
        <w:rPr>
          <w:rFonts w:cs="Arial Narrow" w:ascii="Arial Narrow" w:hAnsi="Arial Narrow"/>
          <w:sz w:val="18"/>
        </w:rPr>
      </w:r>
    </w:p>
    <w:p>
      <w:pPr>
        <w:pStyle w:val="Normal"/>
        <w:numPr>
          <w:ilvl w:val="1"/>
          <w:numId w:val="3"/>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NatSource</w:t>
      </w:r>
    </w:p>
    <w:p>
      <w:pPr>
        <w:pStyle w:val="Normal"/>
        <w:numPr>
          <w:ilvl w:val="1"/>
          <w:numId w:val="3"/>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TFS (Tradition Financial Services)</w:t>
      </w:r>
    </w:p>
    <w:p>
      <w:pPr>
        <w:pStyle w:val="Normal"/>
        <w:numPr>
          <w:ilvl w:val="1"/>
          <w:numId w:val="3"/>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APB</w:t>
      </w:r>
    </w:p>
    <w:p>
      <w:pPr>
        <w:pStyle w:val="Normal"/>
        <w:ind w:start="720" w:end="0"/>
        <w:rPr>
          <w:rFonts w:ascii="Arial Narrow" w:hAnsi="Arial Narrow" w:cs="Arial Narrow"/>
          <w:sz w:val="18"/>
        </w:rPr>
      </w:pPr>
      <w:r>
        <w:rPr>
          <w:rFonts w:cs="Arial Narrow" w:ascii="Arial Narrow" w:hAnsi="Arial Narrow"/>
          <w:sz w:val="18"/>
        </w:rPr>
      </w:r>
    </w:p>
    <w:p>
      <w:pPr>
        <w:pStyle w:val="Normal"/>
        <w:ind w:start="360" w:end="0"/>
        <w:rPr>
          <w:rFonts w:ascii="Arial Narrow" w:hAnsi="Arial Narrow" w:cs="Arial Narrow"/>
          <w:sz w:val="18"/>
        </w:rPr>
      </w:pPr>
      <w:r>
        <w:rPr>
          <w:rFonts w:cs="Arial Narrow" w:ascii="Arial Narrow" w:hAnsi="Arial Narrow"/>
          <w:sz w:val="18"/>
        </w:rPr>
        <w:t>If only two dealer quotations are available for a relevant price, then the Floating Price shall be determined by taking the average of the two dealer quotations.  If only one or no quotations are available for a relevant price, then the parties may agree upon another dealer or dealer(s) to provide at least two quotations for a relevant price or it will be deemed that the Floating Price cannot be determined then parties shall arbitrate.</w:t>
      </w:r>
    </w:p>
    <w:p>
      <w:pPr>
        <w:pStyle w:val="Normal"/>
        <w:ind w:start="720" w:end="0"/>
        <w:rPr>
          <w:rFonts w:ascii="Arial Narrow" w:hAnsi="Arial Narrow" w:cs="Arial Narrow"/>
          <w:sz w:val="18"/>
        </w:rPr>
      </w:pPr>
      <w:r>
        <w:rPr>
          <w:rFonts w:cs="Arial Narrow" w:ascii="Arial Narrow" w:hAnsi="Arial Narrow"/>
          <w:sz w:val="18"/>
        </w:rPr>
      </w:r>
    </w:p>
    <w:p>
      <w:pPr>
        <w:pStyle w:val="Normal"/>
        <w:numPr>
          <w:ilvl w:val="0"/>
          <w:numId w:val="3"/>
        </w:numPr>
        <w:tabs>
          <w:tab w:val="clear" w:pos="720"/>
          <w:tab w:val="left" w:pos="360" w:leader="none"/>
        </w:tabs>
        <w:ind w:hanging="360" w:start="360" w:end="0"/>
        <w:rPr>
          <w:rFonts w:ascii="Arial Narrow" w:hAnsi="Arial Narrow" w:cs="Arial Narrow"/>
          <w:sz w:val="18"/>
        </w:rPr>
      </w:pPr>
      <w:r>
        <w:rPr>
          <w:rFonts w:cs="Arial Narrow" w:ascii="Arial Narrow" w:hAnsi="Arial Narrow"/>
          <w:sz w:val="18"/>
        </w:rPr>
        <w:t xml:space="preserve">The definition of “Market Disruption Event” in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(i) adding the words “after consultation with Counterparty” in the third line after the word “ENA” and (ii) deleting subparts (e), (f) and (g) from the definition.</w:t>
      </w:r>
    </w:p>
    <w:p>
      <w:pPr>
        <w:pStyle w:val="Normal"/>
        <w:ind w:start="720" w:end="0"/>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i/>
          <w:iCs/>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i/>
          <w:iCs/>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i/>
          <w:iCs/>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keepNext w:val="true"/>
        <w:ind w:start="720" w:end="0"/>
        <w:jc w:val="both"/>
        <w:rPr>
          <w:rFonts w:ascii="Arial Narrow" w:hAnsi="Arial Narrow" w:cs="Arial Narrow"/>
          <w:color w:val="FF0000"/>
          <w:sz w:val="18"/>
          <w:szCs w:val="22"/>
        </w:rPr>
      </w:pPr>
      <w:r>
        <w:rPr>
          <w:rFonts w:cs="Arial Narrow" w:ascii="Arial Narrow" w:hAnsi="Arial Narrow"/>
          <w:sz w:val="18"/>
        </w:rPr>
        <w:t>(e)</w:t>
        <w:tab/>
        <w:t>"</w:t>
      </w:r>
      <w:r>
        <w:rPr>
          <w:rFonts w:cs="Arial Narrow" w:ascii="Arial Narrow" w:hAnsi="Arial Narrow"/>
          <w:i/>
          <w:iCs/>
          <w:sz w:val="18"/>
          <w:u w:val="single"/>
        </w:rPr>
        <w:t>Exposure Threshold</w:t>
      </w:r>
      <w:r>
        <w:rPr>
          <w:rFonts w:cs="Arial Narrow" w:ascii="Arial Narrow" w:hAnsi="Arial Narrow"/>
          <w:sz w:val="18"/>
        </w:rPr>
        <w:t xml:space="preserve">" shall mean, </w:t>
      </w:r>
      <w:r>
        <w:rPr>
          <w:rFonts w:cs="Arial Narrow" w:ascii="Arial Narrow" w:hAnsi="Arial Narrow"/>
          <w:color w:val="000000"/>
          <w:sz w:val="18"/>
          <w:szCs w:val="22"/>
        </w:rPr>
        <w:t>with respect to a party (a) the amount set forth opposite the lowest Credit Rating for the party (or in the case of ENA,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rFonts w:ascii="Arial Narrow" w:hAnsi="Arial Narrow" w:cs="Arial Narrow"/>
          <w:color w:val="FF0000"/>
          <w:sz w:val="18"/>
          <w:szCs w:val="22"/>
        </w:rPr>
      </w:pPr>
      <w:r>
        <w:rPr>
          <w:rFonts w:cs="Arial Narrow" w:ascii="Arial Narrow" w:hAnsi="Arial Narrow"/>
          <w:color w:val="FF0000"/>
          <w:sz w:val="18"/>
          <w:szCs w:val="22"/>
        </w:rPr>
      </w:r>
    </w:p>
    <w:tbl>
      <w:tblPr>
        <w:tblW w:w="6593" w:type="dxa"/>
        <w:jc w:val="center"/>
        <w:tblInd w:w="0" w:type="dxa"/>
        <w:tblLayout w:type="fixed"/>
        <w:tblCellMar>
          <w:top w:w="0" w:type="dxa"/>
          <w:start w:w="108" w:type="dxa"/>
          <w:bottom w:w="0" w:type="dxa"/>
          <w:end w:w="108" w:type="dxa"/>
        </w:tblCellMar>
      </w:tblPr>
      <w:tblGrid>
        <w:gridCol w:w="1649"/>
        <w:gridCol w:w="1648"/>
        <w:gridCol w:w="1648"/>
        <w:gridCol w:w="1648"/>
      </w:tblGrid>
      <w:tr>
        <w:trPr/>
        <w:tc>
          <w:tcPr>
            <w:tcW w:w="1649" w:type="dxa"/>
            <w:tcBorders/>
          </w:tcPr>
          <w:p>
            <w:pPr>
              <w:pStyle w:val="Heading5"/>
              <w:ind w:hanging="0" w:start="0"/>
              <w:rPr>
                <w:rFonts w:ascii="Arial Narrow" w:hAnsi="Arial Narrow" w:cs="Arial Narrow"/>
                <w:sz w:val="18"/>
              </w:rPr>
            </w:pPr>
            <w:r>
              <w:rPr>
                <w:rFonts w:cs="Arial Narrow" w:ascii="Arial Narrow" w:hAnsi="Arial Narrow"/>
                <w:sz w:val="18"/>
              </w:rPr>
              <w:t>ENA THRESHOLD</w:t>
            </w:r>
          </w:p>
        </w:tc>
        <w:tc>
          <w:tcPr>
            <w:tcW w:w="1648" w:type="dxa"/>
            <w:tcBorders/>
          </w:tcPr>
          <w:p>
            <w:pPr>
              <w:pStyle w:val="Normal"/>
              <w:rPr>
                <w:rFonts w:ascii="Arial Narrow" w:hAnsi="Arial Narrow" w:cs="Arial Narrow"/>
                <w:b/>
                <w:bCs/>
                <w:sz w:val="18"/>
                <w:u w:val="single"/>
              </w:rPr>
            </w:pPr>
            <w:r>
              <w:rPr>
                <w:rFonts w:cs="Arial Narrow" w:ascii="Arial Narrow" w:hAnsi="Arial Narrow"/>
                <w:b/>
                <w:bCs/>
                <w:sz w:val="18"/>
              </w:rPr>
              <w:t>S&amp;P CREDIT RATING</w:t>
            </w:r>
          </w:p>
        </w:tc>
        <w:tc>
          <w:tcPr>
            <w:tcW w:w="1648" w:type="dxa"/>
            <w:tcBorders/>
          </w:tcPr>
          <w:p>
            <w:pPr>
              <w:pStyle w:val="Normal"/>
              <w:keepNext w:val="true"/>
              <w:rPr>
                <w:rFonts w:ascii="Arial Narrow" w:hAnsi="Arial Narrow" w:cs="Arial Narrow"/>
                <w:b/>
                <w:bCs/>
                <w:sz w:val="18"/>
                <w:szCs w:val="22"/>
                <w:u w:val="single"/>
              </w:rPr>
            </w:pPr>
            <w:r>
              <w:rPr>
                <w:rFonts w:cs="Arial Narrow" w:ascii="Arial Narrow" w:hAnsi="Arial Narrow"/>
                <w:b/>
                <w:bCs/>
                <w:sz w:val="18"/>
                <w:szCs w:val="22"/>
                <w:u w:val="single"/>
              </w:rPr>
              <w:t>MOODY'S CREDIT RATING</w:t>
            </w:r>
          </w:p>
          <w:p>
            <w:pPr>
              <w:pStyle w:val="Normal"/>
              <w:rPr>
                <w:rFonts w:ascii="Arial Narrow" w:hAnsi="Arial Narrow" w:cs="Arial Narrow"/>
                <w:b/>
                <w:bCs/>
                <w:sz w:val="18"/>
                <w:szCs w:val="22"/>
                <w:u w:val="single"/>
              </w:rPr>
            </w:pPr>
            <w:r>
              <w:rPr>
                <w:rFonts w:cs="Arial Narrow" w:ascii="Arial Narrow" w:hAnsi="Arial Narrow"/>
                <w:b/>
                <w:bCs/>
                <w:sz w:val="18"/>
                <w:szCs w:val="22"/>
                <w:u w:val="single"/>
              </w:rPr>
            </w:r>
          </w:p>
        </w:tc>
        <w:tc>
          <w:tcPr>
            <w:tcW w:w="1648" w:type="dxa"/>
            <w:tcBorders/>
          </w:tcPr>
          <w:p>
            <w:pPr>
              <w:pStyle w:val="Normal"/>
              <w:rPr>
                <w:rFonts w:ascii="Arial Narrow" w:hAnsi="Arial Narrow" w:cs="Arial Narrow"/>
                <w:b/>
                <w:bCs/>
                <w:sz w:val="18"/>
                <w:u w:val="single"/>
              </w:rPr>
            </w:pPr>
            <w:r>
              <w:rPr>
                <w:rFonts w:cs="Arial Narrow" w:ascii="Arial Narrow" w:hAnsi="Arial Narrow"/>
                <w:b/>
                <w:bCs/>
                <w:sz w:val="18"/>
                <w:u w:val="single"/>
              </w:rPr>
              <w:t>COUNTERPARTY THRESHOLD</w:t>
            </w:r>
          </w:p>
        </w:tc>
      </w:tr>
      <w:tr>
        <w:trPr/>
        <w:tc>
          <w:tcPr>
            <w:tcW w:w="1649" w:type="dxa"/>
            <w:tcBorders/>
          </w:tcPr>
          <w:p>
            <w:pPr>
              <w:pStyle w:val="Normal"/>
              <w:rPr>
                <w:rFonts w:ascii="Arial Narrow" w:hAnsi="Arial Narrow" w:cs="Arial Narrow"/>
                <w:sz w:val="18"/>
              </w:rPr>
            </w:pPr>
            <w:r>
              <w:rPr>
                <w:rFonts w:cs="Arial Narrow" w:ascii="Arial Narrow" w:hAnsi="Arial Narrow"/>
                <w:sz w:val="18"/>
              </w:rPr>
              <w:t>U.S. $20,000,000</w:t>
            </w:r>
          </w:p>
        </w:tc>
        <w:tc>
          <w:tcPr>
            <w:tcW w:w="1648" w:type="dxa"/>
            <w:tcBorders/>
          </w:tcPr>
          <w:p>
            <w:pPr>
              <w:pStyle w:val="Normal"/>
              <w:rPr>
                <w:rFonts w:ascii="Arial Narrow" w:hAnsi="Arial Narrow" w:cs="Arial Narrow"/>
                <w:sz w:val="18"/>
              </w:rPr>
            </w:pPr>
            <w:r>
              <w:rPr>
                <w:rFonts w:cs="Arial Narrow" w:ascii="Arial Narrow" w:hAnsi="Arial Narrow"/>
                <w:sz w:val="18"/>
                <w:szCs w:val="22"/>
              </w:rPr>
              <w:t xml:space="preserve">A+ and A </w:t>
            </w:r>
          </w:p>
        </w:tc>
        <w:tc>
          <w:tcPr>
            <w:tcW w:w="1648" w:type="dxa"/>
            <w:tcBorders/>
          </w:tcPr>
          <w:p>
            <w:pPr>
              <w:pStyle w:val="Normal"/>
              <w:rPr>
                <w:rFonts w:ascii="Arial Narrow" w:hAnsi="Arial Narrow" w:cs="Arial Narrow"/>
                <w:sz w:val="18"/>
              </w:rPr>
            </w:pPr>
            <w:r>
              <w:rPr>
                <w:rFonts w:cs="Arial Narrow" w:ascii="Arial Narrow" w:hAnsi="Arial Narrow"/>
                <w:sz w:val="18"/>
                <w:szCs w:val="22"/>
              </w:rPr>
              <w:t>A1 and A2</w:t>
            </w:r>
          </w:p>
        </w:tc>
        <w:tc>
          <w:tcPr>
            <w:tcW w:w="1648" w:type="dxa"/>
            <w:tcBorders/>
          </w:tcPr>
          <w:p>
            <w:pPr>
              <w:pStyle w:val="Normal"/>
              <w:rPr>
                <w:rFonts w:ascii="Arial Narrow" w:hAnsi="Arial Narrow" w:cs="Arial Narrow"/>
                <w:sz w:val="18"/>
              </w:rPr>
            </w:pPr>
            <w:r>
              <w:rPr>
                <w:rFonts w:cs="Arial Narrow" w:ascii="Arial Narrow" w:hAnsi="Arial Narrow"/>
                <w:sz w:val="18"/>
              </w:rPr>
              <w:t>U.S. $80,000,000</w:t>
            </w:r>
          </w:p>
        </w:tc>
      </w:tr>
      <w:tr>
        <w:trPr/>
        <w:tc>
          <w:tcPr>
            <w:tcW w:w="1649" w:type="dxa"/>
            <w:tcBorders/>
          </w:tcPr>
          <w:p>
            <w:pPr>
              <w:pStyle w:val="Normal"/>
              <w:rPr>
                <w:rFonts w:ascii="Arial Narrow" w:hAnsi="Arial Narrow" w:cs="Arial Narrow"/>
                <w:sz w:val="18"/>
              </w:rPr>
            </w:pPr>
            <w:r>
              <w:rPr>
                <w:rFonts w:cs="Arial Narrow" w:ascii="Arial Narrow" w:hAnsi="Arial Narrow"/>
                <w:sz w:val="18"/>
              </w:rPr>
              <w:t>U.S. $20,000,000</w:t>
            </w:r>
          </w:p>
        </w:tc>
        <w:tc>
          <w:tcPr>
            <w:tcW w:w="1648" w:type="dxa"/>
            <w:tcBorders/>
          </w:tcPr>
          <w:p>
            <w:pPr>
              <w:pStyle w:val="Normal"/>
              <w:rPr>
                <w:rFonts w:ascii="Arial Narrow" w:hAnsi="Arial Narrow" w:cs="Arial Narrow"/>
                <w:sz w:val="18"/>
              </w:rPr>
            </w:pPr>
            <w:r>
              <w:rPr>
                <w:rFonts w:cs="Arial Narrow" w:ascii="Arial Narrow" w:hAnsi="Arial Narrow"/>
                <w:sz w:val="18"/>
                <w:szCs w:val="22"/>
              </w:rPr>
              <w:t xml:space="preserve">A-  </w:t>
            </w:r>
          </w:p>
        </w:tc>
        <w:tc>
          <w:tcPr>
            <w:tcW w:w="1648" w:type="dxa"/>
            <w:tcBorders/>
          </w:tcPr>
          <w:p>
            <w:pPr>
              <w:pStyle w:val="Normal"/>
              <w:rPr>
                <w:rFonts w:ascii="Arial Narrow" w:hAnsi="Arial Narrow" w:cs="Arial Narrow"/>
                <w:sz w:val="18"/>
              </w:rPr>
            </w:pPr>
            <w:r>
              <w:rPr>
                <w:rFonts w:cs="Arial Narrow" w:ascii="Arial Narrow" w:hAnsi="Arial Narrow"/>
                <w:sz w:val="18"/>
                <w:szCs w:val="22"/>
              </w:rPr>
              <w:t>A3</w:t>
            </w:r>
          </w:p>
        </w:tc>
        <w:tc>
          <w:tcPr>
            <w:tcW w:w="1648" w:type="dxa"/>
            <w:tcBorders/>
          </w:tcPr>
          <w:p>
            <w:pPr>
              <w:pStyle w:val="Normal"/>
              <w:rPr>
                <w:rFonts w:ascii="Arial Narrow" w:hAnsi="Arial Narrow" w:cs="Arial Narrow"/>
                <w:sz w:val="18"/>
              </w:rPr>
            </w:pPr>
            <w:r>
              <w:rPr>
                <w:rFonts w:cs="Arial Narrow" w:ascii="Arial Narrow" w:hAnsi="Arial Narrow"/>
                <w:sz w:val="18"/>
              </w:rPr>
              <w:t>U.S. $40,000,000</w:t>
            </w:r>
          </w:p>
        </w:tc>
      </w:tr>
      <w:tr>
        <w:trPr/>
        <w:tc>
          <w:tcPr>
            <w:tcW w:w="1649" w:type="dxa"/>
            <w:tcBorders/>
          </w:tcPr>
          <w:p>
            <w:pPr>
              <w:pStyle w:val="Normal"/>
              <w:rPr>
                <w:rFonts w:ascii="Arial Narrow" w:hAnsi="Arial Narrow" w:cs="Arial Narrow"/>
                <w:sz w:val="18"/>
              </w:rPr>
            </w:pPr>
            <w:r>
              <w:rPr>
                <w:rFonts w:cs="Arial Narrow" w:ascii="Arial Narrow" w:hAnsi="Arial Narrow"/>
                <w:sz w:val="18"/>
              </w:rPr>
              <w:t>U.S. $20,000,000</w:t>
            </w:r>
          </w:p>
        </w:tc>
        <w:tc>
          <w:tcPr>
            <w:tcW w:w="1648" w:type="dxa"/>
            <w:tcBorders/>
          </w:tcPr>
          <w:p>
            <w:pPr>
              <w:pStyle w:val="Normal"/>
              <w:rPr>
                <w:rFonts w:ascii="Arial Narrow" w:hAnsi="Arial Narrow" w:cs="Arial Narrow"/>
                <w:sz w:val="18"/>
              </w:rPr>
            </w:pPr>
            <w:r>
              <w:rPr>
                <w:rFonts w:cs="Arial Narrow" w:ascii="Arial Narrow" w:hAnsi="Arial Narrow"/>
                <w:sz w:val="18"/>
                <w:szCs w:val="22"/>
              </w:rPr>
              <w:t>BBB+ and BBB</w:t>
            </w:r>
          </w:p>
        </w:tc>
        <w:tc>
          <w:tcPr>
            <w:tcW w:w="1648" w:type="dxa"/>
            <w:tcBorders/>
          </w:tcPr>
          <w:p>
            <w:pPr>
              <w:pStyle w:val="Normal"/>
              <w:rPr>
                <w:rFonts w:ascii="Arial Narrow" w:hAnsi="Arial Narrow" w:cs="Arial Narrow"/>
                <w:sz w:val="18"/>
              </w:rPr>
            </w:pPr>
            <w:r>
              <w:rPr>
                <w:rFonts w:cs="Arial Narrow" w:ascii="Arial Narrow" w:hAnsi="Arial Narrow"/>
                <w:sz w:val="18"/>
                <w:szCs w:val="22"/>
              </w:rPr>
              <w:t>Baa1 and Baa2</w:t>
            </w:r>
          </w:p>
        </w:tc>
        <w:tc>
          <w:tcPr>
            <w:tcW w:w="1648" w:type="dxa"/>
            <w:tcBorders/>
          </w:tcPr>
          <w:p>
            <w:pPr>
              <w:pStyle w:val="Normal"/>
              <w:rPr>
                <w:rFonts w:ascii="Arial Narrow" w:hAnsi="Arial Narrow" w:cs="Arial Narrow"/>
                <w:sz w:val="18"/>
              </w:rPr>
            </w:pPr>
            <w:r>
              <w:rPr>
                <w:rFonts w:cs="Arial Narrow" w:ascii="Arial Narrow" w:hAnsi="Arial Narrow"/>
                <w:sz w:val="18"/>
              </w:rPr>
              <w:t>U.S. $20,000,000</w:t>
            </w:r>
          </w:p>
        </w:tc>
      </w:tr>
      <w:tr>
        <w:trPr/>
        <w:tc>
          <w:tcPr>
            <w:tcW w:w="1649" w:type="dxa"/>
            <w:tcBorders/>
          </w:tcPr>
          <w:p>
            <w:pPr>
              <w:pStyle w:val="Normal"/>
              <w:rPr>
                <w:rFonts w:ascii="Arial Narrow" w:hAnsi="Arial Narrow" w:cs="Arial Narrow"/>
                <w:sz w:val="18"/>
              </w:rPr>
            </w:pPr>
            <w:r>
              <w:rPr>
                <w:rFonts w:cs="Arial Narrow" w:ascii="Arial Narrow" w:hAnsi="Arial Narrow"/>
                <w:sz w:val="18"/>
              </w:rPr>
              <w:t>U.S. $10,000,000</w:t>
            </w:r>
          </w:p>
        </w:tc>
        <w:tc>
          <w:tcPr>
            <w:tcW w:w="1648" w:type="dxa"/>
            <w:tcBorders/>
          </w:tcPr>
          <w:p>
            <w:pPr>
              <w:pStyle w:val="Normal"/>
              <w:rPr>
                <w:rFonts w:ascii="Arial Narrow" w:hAnsi="Arial Narrow" w:cs="Arial Narrow"/>
                <w:sz w:val="18"/>
              </w:rPr>
            </w:pPr>
            <w:r>
              <w:rPr>
                <w:rFonts w:cs="Arial Narrow" w:ascii="Arial Narrow" w:hAnsi="Arial Narrow"/>
                <w:sz w:val="18"/>
                <w:szCs w:val="22"/>
              </w:rPr>
              <w:t>BBB-</w:t>
            </w:r>
          </w:p>
        </w:tc>
        <w:tc>
          <w:tcPr>
            <w:tcW w:w="1648" w:type="dxa"/>
            <w:tcBorders/>
          </w:tcPr>
          <w:p>
            <w:pPr>
              <w:pStyle w:val="Normal"/>
              <w:rPr>
                <w:rFonts w:ascii="Arial Narrow" w:hAnsi="Arial Narrow" w:cs="Arial Narrow"/>
                <w:sz w:val="18"/>
              </w:rPr>
            </w:pPr>
            <w:r>
              <w:rPr>
                <w:rFonts w:cs="Arial Narrow" w:ascii="Arial Narrow" w:hAnsi="Arial Narrow"/>
                <w:sz w:val="18"/>
                <w:szCs w:val="22"/>
              </w:rPr>
              <w:t>Baa3</w:t>
            </w:r>
          </w:p>
        </w:tc>
        <w:tc>
          <w:tcPr>
            <w:tcW w:w="1648" w:type="dxa"/>
            <w:tcBorders/>
          </w:tcPr>
          <w:p>
            <w:pPr>
              <w:pStyle w:val="Normal"/>
              <w:rPr>
                <w:rFonts w:ascii="Arial Narrow" w:hAnsi="Arial Narrow" w:cs="Arial Narrow"/>
                <w:sz w:val="18"/>
              </w:rPr>
            </w:pPr>
            <w:r>
              <w:rPr>
                <w:rFonts w:cs="Arial Narrow" w:ascii="Arial Narrow" w:hAnsi="Arial Narrow"/>
                <w:sz w:val="18"/>
              </w:rPr>
              <w:t>U.S. $10,000,000</w:t>
            </w:r>
          </w:p>
        </w:tc>
      </w:tr>
      <w:tr>
        <w:trPr/>
        <w:tc>
          <w:tcPr>
            <w:tcW w:w="1649" w:type="dxa"/>
            <w:tcBorders/>
          </w:tcPr>
          <w:p>
            <w:pPr>
              <w:pStyle w:val="Normal"/>
              <w:rPr>
                <w:rFonts w:ascii="Arial Narrow" w:hAnsi="Arial Narrow" w:cs="Arial Narrow"/>
                <w:sz w:val="18"/>
              </w:rPr>
            </w:pPr>
            <w:r>
              <w:rPr>
                <w:rFonts w:cs="Arial Narrow" w:ascii="Arial Narrow" w:hAnsi="Arial Narrow"/>
                <w:sz w:val="18"/>
              </w:rPr>
              <w:t>U.S. $0</w:t>
            </w:r>
          </w:p>
        </w:tc>
        <w:tc>
          <w:tcPr>
            <w:tcW w:w="1648" w:type="dxa"/>
            <w:tcBorders/>
          </w:tcPr>
          <w:p>
            <w:pPr>
              <w:pStyle w:val="Normal"/>
              <w:rPr>
                <w:rFonts w:ascii="Arial Narrow" w:hAnsi="Arial Narrow" w:cs="Arial Narrow"/>
                <w:sz w:val="18"/>
              </w:rPr>
            </w:pPr>
            <w:r>
              <w:rPr>
                <w:rFonts w:cs="Arial Narrow" w:ascii="Arial Narrow" w:hAnsi="Arial Narrow"/>
                <w:sz w:val="18"/>
                <w:szCs w:val="22"/>
              </w:rPr>
              <w:t>Below BBB-</w:t>
            </w:r>
          </w:p>
        </w:tc>
        <w:tc>
          <w:tcPr>
            <w:tcW w:w="1648" w:type="dxa"/>
            <w:tcBorders/>
          </w:tcPr>
          <w:p>
            <w:pPr>
              <w:pStyle w:val="Normal"/>
              <w:rPr>
                <w:rFonts w:ascii="Arial Narrow" w:hAnsi="Arial Narrow" w:cs="Arial Narrow"/>
                <w:sz w:val="18"/>
              </w:rPr>
            </w:pPr>
            <w:r>
              <w:rPr>
                <w:rFonts w:cs="Arial Narrow" w:ascii="Arial Narrow" w:hAnsi="Arial Narrow"/>
                <w:sz w:val="18"/>
                <w:szCs w:val="22"/>
              </w:rPr>
              <w:t>Below Baa3</w:t>
            </w:r>
          </w:p>
        </w:tc>
        <w:tc>
          <w:tcPr>
            <w:tcW w:w="1648" w:type="dxa"/>
            <w:tcBorders/>
          </w:tcPr>
          <w:p>
            <w:pPr>
              <w:pStyle w:val="Normal"/>
              <w:rPr>
                <w:rFonts w:ascii="Arial Narrow" w:hAnsi="Arial Narrow" w:cs="Arial Narrow"/>
                <w:sz w:val="18"/>
              </w:rPr>
            </w:pPr>
            <w:r>
              <w:rPr>
                <w:rFonts w:cs="Arial Narrow" w:ascii="Arial Narrow" w:hAnsi="Arial Narrow"/>
                <w:sz w:val="18"/>
              </w:rPr>
              <w:t>U.S. $0</w:t>
            </w:r>
          </w:p>
        </w:tc>
      </w:tr>
    </w:tbl>
    <w:p>
      <w:pPr>
        <w:pStyle w:val="Normal"/>
        <w:tabs>
          <w:tab w:val="left" w:pos="720" w:leader="none"/>
        </w:tabs>
        <w:ind w:hanging="1440" w:start="1440" w:end="0"/>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i/>
          <w:iCs/>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and/or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(h)</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(i)</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(j)</w:t>
        <w:tab/>
        <w:t>“</w:t>
      </w:r>
      <w:r>
        <w:rPr>
          <w:rFonts w:cs="Arial Narrow" w:ascii="Arial Narrow" w:hAnsi="Arial Narrow"/>
          <w:i/>
          <w:sz w:val="18"/>
          <w:u w:val="single"/>
        </w:rPr>
        <w:t>S&amp;P”</w:t>
      </w:r>
      <w:r>
        <w:rPr>
          <w:rFonts w:cs="Arial Narrow" w:ascii="Arial Narrow" w:hAnsi="Arial Narrow"/>
          <w:sz w:val="18"/>
        </w:rPr>
        <w:t xml:space="preserve"> means the Standard &amp; Poor’s Rating Services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(k)</w:t>
        <w:tab/>
        <w:t>"</w:t>
      </w:r>
      <w:r>
        <w:rPr>
          <w:rFonts w:cs="Arial Narrow" w:ascii="Arial Narrow" w:hAnsi="Arial Narrow"/>
          <w:i/>
          <w:iCs/>
          <w:sz w:val="18"/>
          <w:u w:val="single"/>
        </w:rPr>
        <w:t>Swaps</w:t>
      </w:r>
      <w:r>
        <w:rPr>
          <w:rFonts w:cs="Arial Narrow" w:ascii="Arial Narrow" w:hAnsi="Arial Narrow"/>
          <w:sz w:val="18"/>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(l)</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(m)</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BodyTextIndent"/>
        <w:widowControl/>
        <w:spacing w:before="0" w:after="0"/>
        <w:rPr/>
      </w:pPr>
      <w:r>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$250,000 as to Counterparty, and $250,000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rPr>
          <w:rFonts w:ascii="Arial Narrow" w:hAnsi="Arial Narrow" w:cs="Arial Narrow"/>
          <w:sz w:val="18"/>
        </w:rPr>
      </w:pPr>
      <w:r>
        <w:rPr>
          <w:rFonts w:cs="Arial Narrow" w:ascii="Arial Narrow" w:hAnsi="Arial Narrow"/>
          <w:sz w:val="18"/>
        </w:rPr>
        <w:t>(c)</w:t>
        <w:tab/>
        <w:t>“If the Non-Exposed Party disputes the Exposed Party’s calculation of the Non-Exposed Party’s Collateral Requirement or requested reduction in Performance Assurance, then the parties agree to resolve the dispute by adopting the dispute resolution procedure appearing as “Paragraph 5. Dispute Resolution” in the ISDA Credit Support Annex published by the International Swaps and Derivatives Association (”Paragraph 5”) and such other portions of the said Credit Support Annex necessary to effectuate the purpose of Paragraph 5 and the parties hereby adopt said paragraph and incorporate by reference herein.  Differences in terminology between this Confirmation, Paragraph 5 and the Credit Support Annex shall be resolved in favor of maintaining the dispute resolution process.”</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(e)</w:t>
        <w:tab/>
        <w:t>Upon the occurrence of a Letter of Credit Default, the Non-Exposed Party agrees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(g)</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(i)</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rFonts w:ascii="Arial Narrow" w:hAnsi="Arial Narrow" w:cs="Arial Narrow"/>
          <w:sz w:val="18"/>
        </w:rPr>
      </w:pPr>
      <w:r>
        <w:rPr>
          <w:rFonts w:cs="Arial Narrow" w:ascii="Arial Narrow" w:hAnsi="Arial Narrow"/>
          <w:sz w:val="18"/>
        </w:rPr>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ind w:end="180"/>
        <w:jc w:val="center"/>
        <w:rPr>
          <w:rFonts w:ascii="Arial Narrow" w:hAnsi="Arial Narrow" w:cs="Arial Narrow"/>
          <w:b/>
          <w:bCs/>
          <w:sz w:val="18"/>
          <w:szCs w:val="22"/>
        </w:rPr>
      </w:pPr>
      <w:r>
        <w:rPr>
          <w:rFonts w:cs="Arial Narrow" w:ascii="Arial Narrow" w:hAnsi="Arial Narrow"/>
          <w:b/>
          <w:bCs/>
          <w:sz w:val="18"/>
          <w:szCs w:val="22"/>
          <w:u w:val="single"/>
        </w:rPr>
        <w:t>ANNEX B-2</w:t>
      </w:r>
    </w:p>
    <w:p>
      <w:pPr>
        <w:pStyle w:val="Normal"/>
        <w:ind w:end="180"/>
        <w:jc w:val="center"/>
        <w:rPr>
          <w:rFonts w:ascii="Arial Narrow" w:hAnsi="Arial Narrow" w:cs="Arial Narrow"/>
          <w:b/>
          <w:bCs/>
          <w:sz w:val="18"/>
          <w:szCs w:val="22"/>
        </w:rPr>
      </w:pPr>
      <w:r>
        <w:rPr>
          <w:rFonts w:cs="Arial Narrow" w:ascii="Arial Narrow" w:hAnsi="Arial Narrow"/>
          <w:b/>
          <w:bCs/>
          <w:sz w:val="18"/>
          <w:szCs w:val="22"/>
        </w:rPr>
      </w:r>
    </w:p>
    <w:p>
      <w:pPr>
        <w:pStyle w:val="Normal"/>
        <w:ind w:end="180"/>
        <w:jc w:val="center"/>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exact" w:line="240"/>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spacing w:lineRule="exact" w:line="240"/>
        <w:ind w:end="180"/>
        <w:jc w:val="center"/>
        <w:rPr>
          <w:rFonts w:ascii="Arial Narrow" w:hAnsi="Arial Narrow" w:cs="Arial Narrow"/>
          <w:sz w:val="18"/>
          <w:szCs w:val="22"/>
          <w:u w:val="single"/>
        </w:rPr>
      </w:pPr>
      <w:r>
        <w:rPr>
          <w:rFonts w:cs="Arial Narrow" w:ascii="Arial Narrow" w:hAnsi="Arial Narrow"/>
          <w:sz w:val="18"/>
          <w:szCs w:val="22"/>
          <w:u w:val="single"/>
        </w:rPr>
        <w:t>Guaranty</w:t>
      </w:r>
    </w:p>
    <w:sectPr>
      <w:footerReference w:type="default" r:id="rId7"/>
      <w:footerReference w:type="first" r:id="rId8"/>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/mnt/main-storage/datasets/enron-docs/doc/153Aconf__Con_Ed_NY_.doc</w:t>
    </w:r>
    <w:r>
      <w:rPr>
        <w:sz w:val="16"/>
        <w:rFonts w:cs="Arial Narrow" w:ascii="Arial Narrow" w:hAnsi="Arial Narrow"/>
      </w:rPr>
      <w:fldChar w:fldCharType="end"/>
    </w:r>
  </w:p>
  <w:p>
    <w:pPr>
      <w:pStyle w:val="Footer"/>
      <w:jc w:val="center"/>
      <w:rPr>
        <w:rFonts w:ascii="Arial Narrow" w:hAnsi="Arial Narrow" w:cs="Arial Narrow"/>
        <w:sz w:val="16"/>
      </w:rPr>
    </w:pPr>
    <w:r>
      <w:rPr>
        <w:rFonts w:cs="Arial Narrow" w:ascii="Arial Narrow" w:hAnsi="Arial Narrow"/>
        <w:sz w:val="16"/>
      </w:rPr>
      <w:t>Annex B</w:t>
    </w:r>
  </w:p>
  <w:p>
    <w:pPr>
      <w:pStyle w:val="Footer"/>
      <w:jc w:val="center"/>
      <w:rPr/>
    </w:pPr>
    <w:r>
      <w:rP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/mnt/main-storage/datasets/enron-docs/doc/153Aconf__Con_Ed_NY_.doc</w:t>
    </w:r>
    <w:r>
      <w:rPr>
        <w:sz w:val="16"/>
        <w:rFonts w:cs="Arial Narrow" w:ascii="Arial Narrow" w:hAnsi="Arial Narrow"/>
      </w:rPr>
      <w:fldChar w:fldCharType="end"/>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/mnt/main-storage/datasets/enron-docs/doc/153Aconf__Con_Ed_NY_.doc</w:t>
    </w:r>
    <w:r>
      <w:rPr>
        <w:sz w:val="16"/>
        <w:rFonts w:cs="Arial Narrow" w:ascii="Arial Narrow" w:hAnsi="Arial Narrow"/>
      </w:rPr>
      <w:fldChar w:fldCharType="end"/>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/mnt/main-storage/datasets/enron-docs/doc/153Aconf__Con_Ed_NY_.doc</w:t>
    </w:r>
    <w:r>
      <w:rPr>
        <w:sz w:val="16"/>
        <w:rFonts w:cs="Arial Narrow" w:ascii="Arial Narrow" w:hAnsi="Arial Narrow"/>
      </w:rPr>
      <w:fldChar w:fldCharType="end"/>
    </w:r>
  </w:p>
  <w:p>
    <w:pPr>
      <w:pStyle w:val="Footer"/>
      <w:tabs>
        <w:tab w:val="clear" w:pos="4320"/>
        <w:tab w:val="right" w:pos="8640" w:leader="none"/>
      </w:tabs>
      <w:ind w:end="360"/>
      <w:jc w:val="center"/>
      <w:rPr>
        <w:rFonts w:ascii="Arial Narrow" w:hAnsi="Arial Narrow" w:cs="Arial Narrow"/>
        <w:sz w:val="16"/>
      </w:rPr>
    </w:pPr>
    <w:r>
      <w:rPr>
        <w:rFonts w:cs="Arial Narrow" w:ascii="Arial Narrow" w:hAnsi="Arial Narrow"/>
        <w:sz w:val="16"/>
      </w:rPr>
      <w:t>Annex B-2</w:t>
    </w:r>
  </w:p>
  <w:p>
    <w:pPr>
      <w:pStyle w:val="Footer"/>
      <w:tabs>
        <w:tab w:val="clear" w:pos="4320"/>
        <w:tab w:val="right" w:pos="8640" w:leader="none"/>
      </w:tabs>
      <w:ind w:end="360"/>
      <w:jc w:val="center"/>
      <w:rPr>
        <w:rFonts w:ascii="Arial Narrow" w:hAnsi="Arial Narrow" w:cs="Arial Narrow"/>
        <w:sz w:val="16"/>
      </w:rPr>
    </w:pPr>
    <w:r>
      <w:rPr>
        <w:rFonts w:cs="Arial Narrow" w:ascii="Arial Narrow" w:hAnsi="Arial Narrow"/>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18" w:end="0"/>
      <w:outlineLvl w:val="0"/>
    </w:pPr>
    <w:rPr>
      <w:rFonts w:ascii="Arial Narrow" w:hAnsi="Arial Narrow" w:cs="Arial Narrow"/>
      <w:b/>
      <w:bCs/>
      <w:sz w:val="18"/>
      <w:szCs w:val="22"/>
      <w:u w:val="single"/>
    </w:rPr>
  </w:style>
  <w:style w:type="paragraph" w:styleId="Heading5">
    <w:name w:val="heading 5"/>
    <w:basedOn w:val="Normal"/>
    <w:next w:val="Normal"/>
    <w:qFormat/>
    <w:pPr>
      <w:keepNext w:val="true"/>
      <w:numPr>
        <w:ilvl w:val="4"/>
        <w:numId w:val="1"/>
      </w:numPr>
      <w:outlineLvl w:val="4"/>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2001-04-19T13:48:00Z</dcterms:created>
  <dc:creator>mheard</dc:creator>
  <dc:description/>
  <dc:language>en-CA</dc:language>
  <cp:lastModifiedBy>spanus</cp:lastModifiedBy>
  <cp:lastPrinted>2001-04-19T11:18:00Z</cp:lastPrinted>
  <dcterms:modified xsi:type="dcterms:W3CDTF">2001-04-19T13:50:00Z</dcterms:modified>
  <cp:revision>4</cp:revision>
  <dc:subject/>
  <dc:title>DRAFT OF 10/15/99</dc:title>
</cp:coreProperties>
</file>