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0"/>
              </w:rPr>
            </w:pPr>
            <w:r>
              <w:rPr>
                <w:b/>
                <w:sz w:val="20"/>
              </w:rPr>
              <w:t>Enron Capital &amp; Trade Resources Corp</w:t>
            </w:r>
          </w:p>
          <w:p>
            <w:pPr>
              <w:pStyle w:val="Normal"/>
              <w:tabs>
                <w:tab w:val="clear" w:pos="720"/>
                <w:tab w:val="left" w:pos="2412" w:leader="none"/>
              </w:tabs>
              <w:ind w:start="1782" w:end="0"/>
              <w:jc w:val="end"/>
              <w:rPr>
                <w:sz w:val="20"/>
              </w:rPr>
            </w:pPr>
            <w:r>
              <w:rPr>
                <w:i/>
                <w:sz w:val="20"/>
              </w:rPr>
              <w:t>P.O. Box 4428</w:t>
            </w:r>
          </w:p>
          <w:p>
            <w:pPr>
              <w:pStyle w:val="Normal"/>
              <w:tabs>
                <w:tab w:val="clear" w:pos="720"/>
                <w:tab w:val="left" w:pos="2412" w:leader="none"/>
              </w:tabs>
              <w:ind w:start="1782" w:end="0"/>
              <w:jc w:val="end"/>
              <w:rPr>
                <w:sz w:val="20"/>
              </w:rPr>
            </w:pPr>
            <w:r>
              <w:rPr>
                <w:i/>
                <w:sz w:val="20"/>
              </w:rPr>
              <w:t>Houston, TX  77210-4428</w:t>
            </w:r>
          </w:p>
          <w:p>
            <w:pPr>
              <w:pStyle w:val="Normal"/>
              <w:tabs>
                <w:tab w:val="clear" w:pos="720"/>
                <w:tab w:val="left" w:pos="2412" w:leader="none"/>
              </w:tabs>
              <w:ind w:start="1782" w:end="0"/>
              <w:jc w:val="end"/>
              <w:rPr>
                <w:sz w:val="20"/>
              </w:rPr>
            </w:pPr>
            <w:r>
              <w:rPr>
                <w:i/>
                <w:sz w:val="20"/>
              </w:rPr>
              <w:t>Phone: (713) 853-3300</w:t>
            </w:r>
          </w:p>
          <w:p>
            <w:pPr>
              <w:pStyle w:val="Normal"/>
              <w:tabs>
                <w:tab w:val="clear" w:pos="720"/>
                <w:tab w:val="left" w:pos="2412" w:leader="none"/>
              </w:tabs>
              <w:ind w:start="1782" w:end="0"/>
              <w:jc w:val="end"/>
              <w:rPr>
                <w:i/>
                <w:i/>
                <w:sz w:val="20"/>
              </w:rPr>
            </w:pPr>
            <w:r>
              <w:rPr>
                <w:i/>
                <w:sz w:val="20"/>
              </w:rPr>
              <w:t>Fax:  (713) 646-4816</w:t>
            </w:r>
          </w:p>
          <w:p>
            <w:pPr>
              <w:pStyle w:val="Normal"/>
              <w:tabs>
                <w:tab w:val="clear" w:pos="720"/>
                <w:tab w:val="left" w:pos="2412" w:leader="none"/>
              </w:tabs>
              <w:ind w:start="1782" w:end="0"/>
              <w:rPr>
                <w:i/>
                <w:i/>
                <w:sz w:val="20"/>
              </w:rPr>
            </w:pPr>
            <w:r>
              <w:rPr>
                <w:i/>
                <w:sz w:val="20"/>
              </w:rPr>
            </w:r>
          </w:p>
        </w:tc>
      </w:tr>
    </w:tbl>
    <w:p>
      <w:pPr>
        <w:pStyle w:val="Caption"/>
        <w:widowControl/>
        <w:ind w:firstLine="720" w:start="720" w:end="0"/>
        <w:rPr>
          <w:sz w:val="20"/>
        </w:rPr>
      </w:pPr>
      <w:r>
        <w:rPr>
          <w:sz w:val="20"/>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46685"/>
                        </a:xfrm>
                        <a:prstGeom prst="rect"/>
                        <a:solidFill>
                          <a:srgbClr val="FFFFFF">
                            <a:alpha val="0"/>
                          </a:srgbClr>
                        </a:solidFill>
                      </wps:spPr>
                      <wps:txbx>
                        <w:txbxContent>
                          <w:p>
                            <w:pPr>
                              <w:pStyle w:val="Normal"/>
                              <w:widowControl/>
                              <w:ind w:start="1800" w:end="0"/>
                              <w:jc w:val="center"/>
                              <w:rPr>
                                <w:sz w:val="20"/>
                              </w:rPr>
                            </w:pPr>
                            <w:r>
                              <w:rPr>
                                <w:sz w:val="20"/>
                              </w:rPr>
                            </w:r>
                          </w:p>
                        </w:txbxContent>
                      </wps:txbx>
                      <wps:bodyPr anchor="t" lIns="0" tIns="0" rIns="0" bIns="0">
                        <a:noAutofit/>
                      </wps:bodyPr>
                    </wps:wsp>
                  </a:graphicData>
                </a:graphic>
              </wp:anchor>
            </w:drawing>
          </mc:Choice>
          <mc:Fallback>
            <w:pict>
              <v:rect fillcolor="#FFFFFF" style="position:absolute;rotation:-0;width:91.15pt;height:11.5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ind w:start="1800" w:end="0"/>
                        <w:jc w:val="center"/>
                        <w:rPr>
                          <w:sz w:val="20"/>
                        </w:rPr>
                      </w:pPr>
                      <w:r>
                        <w:rPr>
                          <w:sz w:val="20"/>
                        </w:rPr>
                      </w:r>
                    </w:p>
                  </w:txbxContent>
                </v:textbox>
                <w10:wrap type="square"/>
              </v:rect>
            </w:pict>
          </mc:Fallback>
        </mc:AlternateContent>
      </w:r>
    </w:p>
    <w:p>
      <w:pPr>
        <w:pStyle w:val="Normal"/>
        <w:widowControl/>
        <w:rPr>
          <w:b/>
          <w:sz w:val="20"/>
          <w:u w:val="single"/>
        </w:rPr>
      </w:pPr>
      <w:r>
        <w:rPr>
          <w:b/>
          <w:sz w:val="20"/>
          <w:u w:val="single"/>
        </w:rPr>
      </w:r>
    </w:p>
    <w:p>
      <w:pPr>
        <w:pStyle w:val="Normal"/>
        <w:widowControl/>
        <w:rPr>
          <w:b/>
          <w:sz w:val="20"/>
          <w:u w:val="single"/>
        </w:rPr>
      </w:pPr>
      <w:r>
        <w:rPr>
          <w:b/>
          <w:sz w:val="20"/>
          <w:u w:val="single"/>
        </w:rPr>
      </w:r>
    </w:p>
    <w:p>
      <w:pPr>
        <w:pStyle w:val="Normal"/>
        <w:widowControl/>
        <w:jc w:val="both"/>
        <w:rPr>
          <w:sz w:val="20"/>
        </w:rPr>
      </w:pPr>
      <w:r>
        <w:rPr>
          <w:sz w:val="20"/>
        </w:rPr>
        <w:t>Date:</w:t>
        <w:tab/>
        <w:tab/>
        <w:t>April 29, 1999</w:t>
      </w:r>
    </w:p>
    <w:p>
      <w:pPr>
        <w:pStyle w:val="Normal"/>
        <w:widowControl/>
        <w:jc w:val="both"/>
        <w:rPr>
          <w:sz w:val="20"/>
        </w:rPr>
      </w:pPr>
      <w:r>
        <w:rPr>
          <w:sz w:val="20"/>
        </w:rPr>
      </w:r>
    </w:p>
    <w:p>
      <w:pPr>
        <w:pStyle w:val="Normal"/>
        <w:widowControl/>
        <w:jc w:val="both"/>
        <w:rPr>
          <w:sz w:val="20"/>
        </w:rPr>
      </w:pPr>
      <w:r>
        <w:rPr>
          <w:sz w:val="20"/>
        </w:rPr>
        <w:t xml:space="preserve">To: </w:t>
        <w:tab/>
        <w:tab/>
        <w:t>Teeside Power Financing Limited (“Party B”)</w:t>
      </w:r>
    </w:p>
    <w:p>
      <w:pPr>
        <w:pStyle w:val="Normal"/>
        <w:widowControl/>
        <w:jc w:val="both"/>
        <w:rPr>
          <w:sz w:val="20"/>
        </w:rPr>
      </w:pPr>
      <w:r>
        <w:rPr>
          <w:sz w:val="20"/>
        </w:rPr>
      </w:r>
    </w:p>
    <w:p>
      <w:pPr>
        <w:pStyle w:val="Normal"/>
        <w:widowControl/>
        <w:jc w:val="both"/>
        <w:rPr>
          <w:sz w:val="20"/>
        </w:rPr>
      </w:pPr>
      <w:r>
        <w:rPr>
          <w:sz w:val="20"/>
        </w:rPr>
        <w:t>Attention:</w:t>
        <w:tab/>
        <w:t>Treasa Kirby</w:t>
      </w:r>
    </w:p>
    <w:p>
      <w:pPr>
        <w:pStyle w:val="Normal"/>
        <w:widowControl/>
        <w:jc w:val="both"/>
        <w:rPr>
          <w:sz w:val="20"/>
        </w:rPr>
      </w:pPr>
      <w:r>
        <w:rPr>
          <w:sz w:val="20"/>
        </w:rPr>
      </w:r>
    </w:p>
    <w:p>
      <w:pPr>
        <w:pStyle w:val="Normal"/>
        <w:widowControl/>
        <w:jc w:val="both"/>
        <w:rPr>
          <w:sz w:val="20"/>
        </w:rPr>
      </w:pPr>
      <w:r>
        <w:rPr>
          <w:sz w:val="20"/>
        </w:rPr>
        <w:t>Fax No.:</w:t>
        <w:tab/>
        <w:tab/>
        <w:t>011-44-171-970-7461</w:t>
      </w:r>
    </w:p>
    <w:p>
      <w:pPr>
        <w:pStyle w:val="Normal"/>
        <w:widowControl/>
        <w:jc w:val="both"/>
        <w:rPr>
          <w:sz w:val="20"/>
        </w:rPr>
      </w:pPr>
      <w:r>
        <w:rPr>
          <w:sz w:val="20"/>
        </w:rPr>
      </w:r>
    </w:p>
    <w:p>
      <w:pPr>
        <w:pStyle w:val="Normal"/>
        <w:widowControl/>
        <w:jc w:val="both"/>
        <w:rPr>
          <w:sz w:val="20"/>
        </w:rPr>
      </w:pPr>
      <w:r>
        <w:rPr>
          <w:sz w:val="20"/>
        </w:rPr>
        <w:t>From:</w:t>
        <w:tab/>
        <w:tab/>
        <w:t>Risk Management &amp; Trading Corp. (“Party A”)</w:t>
      </w:r>
    </w:p>
    <w:p>
      <w:pPr>
        <w:pStyle w:val="Normal"/>
        <w:widowControl/>
        <w:jc w:val="both"/>
        <w:rPr>
          <w:sz w:val="20"/>
        </w:rPr>
      </w:pPr>
      <w:r>
        <w:rPr>
          <w:sz w:val="20"/>
        </w:rPr>
      </w:r>
    </w:p>
    <w:p>
      <w:pPr>
        <w:pStyle w:val="Normal"/>
        <w:widowControl/>
        <w:jc w:val="both"/>
        <w:rPr/>
      </w:pPr>
      <w:r>
        <w:rPr>
          <w:sz w:val="20"/>
        </w:rPr>
        <w:t>RE:</w:t>
        <w:tab/>
        <w:tab/>
        <w:t xml:space="preserve">Swap Transaction; Deal No. </w:t>
      </w:r>
      <w:r>
        <w:rPr>
          <w:color w:val="FF0000"/>
          <w:sz w:val="20"/>
        </w:rPr>
        <w:t>M165392</w:t>
      </w:r>
    </w:p>
    <w:p>
      <w:pPr>
        <w:pStyle w:val="Normal"/>
        <w:widowControl/>
        <w:jc w:val="both"/>
        <w:rPr>
          <w:color w:val="FF0000"/>
          <w:sz w:val="20"/>
        </w:rPr>
      </w:pPr>
      <w:r>
        <w:rPr>
          <w:color w:val="FF0000"/>
          <w:sz w:val="20"/>
        </w:rPr>
      </w:r>
    </w:p>
    <w:p>
      <w:pPr>
        <w:pStyle w:val="BodyText2"/>
        <w:rPr>
          <w:sz w:val="20"/>
        </w:rPr>
      </w:pPr>
      <w:r>
        <w:rPr>
          <w:sz w:val="20"/>
        </w:rPr>
        <w:t>The purpose of this letter agreement is to confirm the terms and conditions of the Transaction entered into between Risk Management &amp; Trading Corp. and Teeside Power Financing Limited on the Trade Date specified below (the “Transaction”).  This letter agreement constitutes a “Confirmation” as referred to in the ISDA Agreement specified below</w:t>
      </w:r>
    </w:p>
    <w:p>
      <w:pPr>
        <w:pStyle w:val="Normal"/>
        <w:rPr>
          <w:sz w:val="20"/>
        </w:rPr>
      </w:pPr>
      <w:r>
        <w:rPr>
          <w:sz w:val="20"/>
        </w:rPr>
      </w:r>
    </w:p>
    <w:p>
      <w:pPr>
        <w:pStyle w:val="BodyText2"/>
        <w:rPr>
          <w:sz w:val="20"/>
        </w:rPr>
      </w:pPr>
      <w:r>
        <w:rPr>
          <w:sz w:val="20"/>
        </w:rPr>
        <w:t>The definitions and provisions contained in the 1991 ISDA Definitions (as supplemented by the 1998 Supplement) (as published by the International Swaps and Derivatives Association, Inc.) are incorporated into this Confirmation.  In the event of any inconsistency between those definitions and provisions and this Confirmation, this Confirmation will govern.</w:t>
      </w:r>
    </w:p>
    <w:p>
      <w:pPr>
        <w:pStyle w:val="Normal"/>
        <w:rPr>
          <w:sz w:val="20"/>
        </w:rPr>
      </w:pPr>
      <w:r>
        <w:rPr>
          <w:sz w:val="20"/>
        </w:rPr>
      </w:r>
    </w:p>
    <w:p>
      <w:pPr>
        <w:pStyle w:val="BodyText"/>
        <w:jc w:val="both"/>
        <w:rPr>
          <w:sz w:val="20"/>
        </w:rPr>
      </w:pPr>
      <w:r>
        <w:rPr>
          <w:sz w:val="20"/>
        </w:rPr>
        <w:t>1.</w:t>
        <w:tab/>
        <w:t>This Confirmation evidences a complete and binding agreement between Party A and Party B as to the terms of the transaction to which this Confirmation relates.  In addition Party A and Party B agree to use all reasonable efforts promptly to negotiate, execute and deliver an agreement in the form of the ISDA Master Agreement (Multicurrency-Cross Border) (the "ISDA Form") with such modifications as Party A and Party B will in good faith agree.  Upon execution by Party A and Party B of such an agreement this Confirmation will supplement, form part of, and be subject to that agreement.  All provisions contained or incorporated by reference in that agreement upon its execution will govern this Confirmation except as expressly modified below.  Until we execute and deliver that agreement, this Confirmation, together with all other documents referring to the ISDA Form (each a "Confirmation") and confirming transactions (each a "Transaction") entered into between us (notwithstanding anything to the contrary in a Confirmation), shall supplement, form part of, and be subject to an agreement in the form of the ISDA Form as if we had executed an agreement in such form (but without any Schedule) on the Trade Date of the first such Transaction between us.  In the event of any inconsistency between the provisions of that agreement and this Confirmation, this Confirmation will prevail for the purposes of this transaction.</w:t>
      </w:r>
    </w:p>
    <w:p>
      <w:pPr>
        <w:pStyle w:val="Normal"/>
        <w:widowControl/>
        <w:jc w:val="both"/>
        <w:rPr>
          <w:sz w:val="20"/>
        </w:rPr>
      </w:pPr>
      <w:r>
        <w:rPr>
          <w:sz w:val="20"/>
        </w:rPr>
      </w:r>
    </w:p>
    <w:p>
      <w:pPr>
        <w:pStyle w:val="Normal"/>
        <w:widowControl/>
        <w:jc w:val="both"/>
        <w:rPr>
          <w:sz w:val="20"/>
        </w:rPr>
      </w:pPr>
      <w:r>
        <w:rPr>
          <w:sz w:val="20"/>
        </w:rPr>
        <w:t>2.</w:t>
        <w:tab/>
        <w:t>The terms of the particular Transaction to which this Confirmation relates are as follows:</w:t>
      </w:r>
    </w:p>
    <w:p>
      <w:pPr>
        <w:pStyle w:val="Normal"/>
        <w:widowControl/>
        <w:jc w:val="both"/>
        <w:rPr>
          <w:sz w:val="20"/>
        </w:rPr>
      </w:pPr>
      <w:r>
        <w:rPr>
          <w:sz w:val="20"/>
        </w:rPr>
      </w:r>
    </w:p>
    <w:p>
      <w:pPr>
        <w:pStyle w:val="BodyTextIndent"/>
        <w:widowControl/>
        <w:ind w:start="0" w:end="0"/>
        <w:rPr>
          <w:b/>
        </w:rPr>
      </w:pPr>
      <w:r>
        <w:rPr>
          <w:b/>
        </w:rPr>
        <w:t>General Terms:</w:t>
        <w:tab/>
      </w:r>
    </w:p>
    <w:p>
      <w:pPr>
        <w:pStyle w:val="BodyTextIndent"/>
        <w:widowControl/>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Trade Date: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April 29, 1999</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Effective Date:</w:t>
              <w:tab/>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June 4, 1999</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Termination Date: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June 15, 2008, subject to adjustment in accordance with the Modified Following Business Day Convention</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bl>
    <w:p>
      <w:pPr>
        <w:pStyle w:val="BodyTextIndent"/>
        <w:widowControl/>
        <w:tabs>
          <w:tab w:val="left" w:pos="90" w:leader="none"/>
          <w:tab w:val="left" w:pos="2160" w:leader="none"/>
          <w:tab w:val="left" w:pos="4140" w:leader="none"/>
          <w:tab w:val="left" w:pos="4320" w:leader="none"/>
          <w:tab w:val="left" w:pos="6480" w:leader="none"/>
        </w:tabs>
        <w:ind w:start="0" w:end="0"/>
        <w:rPr>
          <w:b/>
        </w:rPr>
      </w:pPr>
      <w:r>
        <w:rPr>
          <w:b/>
        </w:rPr>
        <w:t xml:space="preserve">USD Fixed Amounts: </w:t>
      </w:r>
    </w:p>
    <w:p>
      <w:pPr>
        <w:pStyle w:val="BodyTextIndent"/>
        <w:widowControl/>
        <w:tabs>
          <w:tab w:val="left" w:pos="90" w:leader="none"/>
          <w:tab w:val="left" w:pos="2160" w:leader="none"/>
          <w:tab w:val="left" w:pos="4140" w:leader="none"/>
          <w:tab w:val="left" w:pos="6480" w:leader="none"/>
        </w:tabs>
        <w:ind w:hanging="720" w:start="0" w:end="0"/>
        <w:rPr/>
      </w:pPr>
      <w:r>
        <w:rPr/>
        <w:tab/>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Fixed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Party A</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Fixed Rate Payer Currency Amount:</w:t>
            </w:r>
          </w:p>
        </w:tc>
        <w:tc>
          <w:tcPr>
            <w:tcW w:w="4428" w:type="dxa"/>
            <w:tcBorders/>
          </w:tcPr>
          <w:p>
            <w:pPr>
              <w:pStyle w:val="Normal"/>
              <w:jc w:val="both"/>
              <w:rPr>
                <w:sz w:val="20"/>
              </w:rPr>
            </w:pPr>
            <w:r>
              <w:rPr>
                <w:sz w:val="20"/>
              </w:rPr>
              <w:t>For each Calculation Period, the amount set for in Exhibit I attached hereto opposite such Calculation Period and under the heading ‘USD Currency Payer Amount’</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Fixed Rate Payer Payment Dates:</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Each June 15, and December 15, from and including December 15, 1999 to and including the Termination Date, subject to adjustment in accordance with the Modified Following Business Day Convention</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Fixed Rate: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9.860 percent</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Fixed Rate Day Count Fraction: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30/360</w:t>
            </w:r>
          </w:p>
        </w:tc>
      </w:tr>
    </w:tbl>
    <w:p>
      <w:pPr>
        <w:pStyle w:val="BodyTextIndent"/>
        <w:widowControl/>
        <w:tabs>
          <w:tab w:val="left" w:pos="90" w:leader="none"/>
          <w:tab w:val="left" w:pos="2160" w:leader="none"/>
          <w:tab w:val="left" w:pos="4140" w:leader="none"/>
          <w:tab w:val="left" w:pos="4320" w:leader="none"/>
          <w:tab w:val="left" w:pos="6480" w:leader="none"/>
        </w:tabs>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0" w:end="0"/>
        <w:rPr>
          <w:b/>
        </w:rPr>
      </w:pPr>
      <w:r>
        <w:rPr>
          <w:b/>
        </w:rPr>
        <w:t>GBP Fixed Amounts:</w:t>
      </w:r>
    </w:p>
    <w:p>
      <w:pPr>
        <w:pStyle w:val="BodyTextIndent"/>
        <w:widowControl/>
        <w:tabs>
          <w:tab w:val="left" w:pos="90" w:leader="none"/>
          <w:tab w:val="left" w:pos="2160" w:leader="none"/>
          <w:tab w:val="left" w:pos="4140" w:leader="none"/>
          <w:tab w:val="left" w:pos="4320" w:leader="none"/>
          <w:tab w:val="left" w:pos="6480" w:leader="none"/>
        </w:tabs>
        <w:rPr>
          <w:b/>
        </w:rPr>
      </w:pPr>
      <w:r>
        <w:rPr>
          <w:b/>
        </w:rPr>
      </w:r>
    </w:p>
    <w:tbl>
      <w:tblPr>
        <w:tblW w:w="8856" w:type="dxa"/>
        <w:jc w:val="start"/>
        <w:tblInd w:w="0" w:type="dxa"/>
        <w:tblLayout w:type="fixed"/>
        <w:tblCellMar>
          <w:top w:w="0" w:type="dxa"/>
          <w:start w:w="108" w:type="dxa"/>
          <w:bottom w:w="0" w:type="dxa"/>
          <w:end w:w="108" w:type="dxa"/>
        </w:tblCellMar>
      </w:tblPr>
      <w:tblGrid>
        <w:gridCol w:w="3528"/>
        <w:gridCol w:w="900"/>
        <w:gridCol w:w="1764"/>
        <w:gridCol w:w="2664"/>
      </w:tblGrid>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Fixed Rate Payer:</w:t>
            </w:r>
          </w:p>
        </w:tc>
        <w:tc>
          <w:tcPr>
            <w:tcW w:w="4428" w:type="dxa"/>
            <w:gridSpan w:val="2"/>
            <w:tcBorders/>
          </w:tcPr>
          <w:p>
            <w:pPr>
              <w:pStyle w:val="BodyTextIndent"/>
              <w:widowControl/>
              <w:tabs>
                <w:tab w:val="left" w:pos="90" w:leader="none"/>
                <w:tab w:val="left" w:pos="2160" w:leader="none"/>
                <w:tab w:val="left" w:pos="4140" w:leader="none"/>
                <w:tab w:val="left" w:pos="6480" w:leader="none"/>
              </w:tabs>
              <w:ind w:start="0" w:end="0"/>
              <w:rPr/>
            </w:pPr>
            <w:r>
              <w:rPr/>
              <w:t>Party B</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Fixed Rate Payer Currency Amount:</w:t>
            </w:r>
          </w:p>
        </w:tc>
        <w:tc>
          <w:tcPr>
            <w:tcW w:w="4428" w:type="dxa"/>
            <w:gridSpan w:val="2"/>
            <w:tcBorders/>
          </w:tcPr>
          <w:p>
            <w:pPr>
              <w:pStyle w:val="Normal"/>
              <w:jc w:val="both"/>
              <w:rPr>
                <w:sz w:val="20"/>
              </w:rPr>
            </w:pPr>
            <w:r>
              <w:rPr>
                <w:sz w:val="20"/>
              </w:rPr>
              <w:t>For each Calculation Period, the amount set for in Exhibit I attached hereto opposite such Calculation Period and under the heading ‘GBP Currency Payer Amount’</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Fixed Rate Payer Payment Dates:</w:t>
            </w:r>
          </w:p>
        </w:tc>
        <w:tc>
          <w:tcPr>
            <w:tcW w:w="4428" w:type="dxa"/>
            <w:gridSpan w:val="2"/>
            <w:tcBorders/>
          </w:tcPr>
          <w:p>
            <w:pPr>
              <w:pStyle w:val="BodyTextIndent"/>
              <w:widowControl/>
              <w:tabs>
                <w:tab w:val="left" w:pos="90" w:leader="none"/>
                <w:tab w:val="left" w:pos="2160" w:leader="none"/>
                <w:tab w:val="left" w:pos="4140" w:leader="none"/>
                <w:tab w:val="left" w:pos="6480" w:leader="none"/>
              </w:tabs>
              <w:ind w:start="0" w:end="0"/>
              <w:rPr/>
            </w:pPr>
            <w:r>
              <w:rPr/>
              <w:t>Each June 15, and December 15, from and including December 15, 1999 to and including the Termination Date, subject to adjustment in accordance with the Modified Following Business Day Convention</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Fixed Rate:</w:t>
            </w:r>
          </w:p>
        </w:tc>
        <w:tc>
          <w:tcPr>
            <w:tcW w:w="4428" w:type="dxa"/>
            <w:gridSpan w:val="2"/>
            <w:tcBorders/>
          </w:tcPr>
          <w:p>
            <w:pPr>
              <w:pStyle w:val="BodyTextIndent"/>
              <w:widowControl/>
              <w:tabs>
                <w:tab w:val="left" w:pos="90" w:leader="none"/>
                <w:tab w:val="left" w:pos="2160" w:leader="none"/>
                <w:tab w:val="left" w:pos="4140" w:leader="none"/>
                <w:tab w:val="left" w:pos="6480" w:leader="none"/>
              </w:tabs>
              <w:ind w:start="0" w:end="0"/>
              <w:rPr/>
            </w:pPr>
            <w:r>
              <w:rPr/>
              <w:t>9.840 percent</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 xml:space="preserve">Fixed Rate Day Count Fraction: </w:t>
            </w:r>
          </w:p>
        </w:tc>
        <w:tc>
          <w:tcPr>
            <w:tcW w:w="4428" w:type="dxa"/>
            <w:gridSpan w:val="2"/>
            <w:tcBorders/>
          </w:tcPr>
          <w:p>
            <w:pPr>
              <w:pStyle w:val="BodyTextIndent"/>
              <w:widowControl/>
              <w:tabs>
                <w:tab w:val="left" w:pos="90" w:leader="none"/>
                <w:tab w:val="left" w:pos="2160" w:leader="none"/>
                <w:tab w:val="left" w:pos="4140" w:leader="none"/>
                <w:tab w:val="left" w:pos="6480" w:leader="none"/>
              </w:tabs>
              <w:ind w:start="0" w:end="0"/>
              <w:rPr/>
            </w:pPr>
            <w:r>
              <w:rPr/>
              <w:t>Actual/365 (fixed)</w:t>
            </w:r>
          </w:p>
          <w:p>
            <w:pPr>
              <w:pStyle w:val="BodyTextIndent"/>
              <w:widowControl/>
              <w:tabs>
                <w:tab w:val="left" w:pos="90" w:leader="none"/>
                <w:tab w:val="left" w:pos="2160" w:leader="none"/>
                <w:tab w:val="left" w:pos="4140" w:leader="none"/>
                <w:tab w:val="left" w:pos="6480" w:leader="none"/>
              </w:tabs>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3528" w:type="dxa"/>
            <w:tcBorders/>
          </w:tcPr>
          <w:p>
            <w:pPr>
              <w:pStyle w:val="Normal"/>
              <w:widowControl/>
              <w:spacing w:before="60" w:after="0"/>
              <w:jc w:val="both"/>
              <w:rPr>
                <w:sz w:val="20"/>
              </w:rPr>
            </w:pPr>
            <w:r>
              <w:rPr>
                <w:sz w:val="20"/>
              </w:rPr>
              <w:t>3. Calculation Agent:</w:t>
            </w:r>
          </w:p>
        </w:tc>
        <w:tc>
          <w:tcPr>
            <w:tcW w:w="5328" w:type="dxa"/>
            <w:gridSpan w:val="3"/>
            <w:tcBorders/>
          </w:tcPr>
          <w:p>
            <w:pPr>
              <w:pStyle w:val="Normal"/>
              <w:widowControl/>
              <w:spacing w:before="60" w:after="0"/>
              <w:jc w:val="both"/>
              <w:rPr>
                <w:sz w:val="20"/>
              </w:rPr>
            </w:pPr>
            <w:r>
              <w:rPr>
                <w:sz w:val="20"/>
              </w:rPr>
              <w:t>Party A</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3"/>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4. Account Details:</w:t>
            </w:r>
          </w:p>
        </w:tc>
        <w:tc>
          <w:tcPr>
            <w:tcW w:w="5328" w:type="dxa"/>
            <w:gridSpan w:val="3"/>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3"/>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270" w:end="0"/>
              <w:jc w:val="both"/>
              <w:rPr>
                <w:sz w:val="20"/>
              </w:rPr>
            </w:pPr>
            <w:r>
              <w:rPr>
                <w:sz w:val="20"/>
              </w:rPr>
              <w:t>Payments to Party A:</w:t>
            </w:r>
          </w:p>
        </w:tc>
        <w:tc>
          <w:tcPr>
            <w:tcW w:w="2664" w:type="dxa"/>
            <w:gridSpan w:val="2"/>
            <w:tcBorders/>
          </w:tcPr>
          <w:p>
            <w:pPr>
              <w:pStyle w:val="Normal"/>
              <w:widowControl/>
              <w:spacing w:before="60" w:after="0"/>
              <w:jc w:val="both"/>
              <w:rPr>
                <w:sz w:val="20"/>
              </w:rPr>
            </w:pPr>
            <w:r>
              <w:rPr>
                <w:sz w:val="20"/>
              </w:rPr>
              <w:t>USD—Nations Bank, Dallas</w:t>
            </w:r>
          </w:p>
          <w:p>
            <w:pPr>
              <w:pStyle w:val="Normal"/>
              <w:widowControl/>
              <w:spacing w:before="60" w:after="0"/>
              <w:jc w:val="both"/>
              <w:rPr>
                <w:sz w:val="20"/>
              </w:rPr>
            </w:pPr>
            <w:r>
              <w:rPr>
                <w:sz w:val="20"/>
              </w:rPr>
              <w:t>ABA 111-000-012</w:t>
            </w:r>
          </w:p>
          <w:p>
            <w:pPr>
              <w:pStyle w:val="Normal"/>
              <w:widowControl/>
              <w:spacing w:before="60" w:after="0"/>
              <w:jc w:val="both"/>
              <w:rPr>
                <w:sz w:val="20"/>
              </w:rPr>
            </w:pPr>
            <w:r>
              <w:rPr>
                <w:sz w:val="20"/>
              </w:rPr>
              <w:t>Acct.  3750494727</w:t>
            </w:r>
          </w:p>
        </w:tc>
        <w:tc>
          <w:tcPr>
            <w:tcW w:w="2664" w:type="dxa"/>
            <w:tcBorders/>
          </w:tcPr>
          <w:p>
            <w:pPr>
              <w:pStyle w:val="Normal"/>
              <w:widowControl/>
              <w:spacing w:before="60" w:after="0"/>
              <w:jc w:val="both"/>
              <w:rPr>
                <w:sz w:val="20"/>
              </w:rPr>
            </w:pPr>
            <w:r>
              <w:rPr>
                <w:sz w:val="20"/>
              </w:rPr>
              <w:t>GBP—Citibank, London</w:t>
            </w:r>
          </w:p>
          <w:p>
            <w:pPr>
              <w:pStyle w:val="Normal"/>
              <w:widowControl/>
              <w:spacing w:before="60" w:after="0"/>
              <w:jc w:val="both"/>
              <w:rPr>
                <w:sz w:val="20"/>
              </w:rPr>
            </w:pPr>
            <w:r>
              <w:rPr>
                <w:sz w:val="20"/>
              </w:rPr>
              <w:t>Sort Code:  18-50-08</w:t>
            </w:r>
          </w:p>
          <w:p>
            <w:pPr>
              <w:pStyle w:val="Normal"/>
              <w:widowControl/>
              <w:spacing w:before="60" w:after="0"/>
              <w:jc w:val="both"/>
              <w:rPr>
                <w:sz w:val="20"/>
              </w:rPr>
            </w:pPr>
            <w:r>
              <w:rPr>
                <w:sz w:val="20"/>
              </w:rPr>
              <w:t>Acct.  8143692</w:t>
            </w:r>
          </w:p>
        </w:tc>
      </w:tr>
      <w:tr>
        <w:trPr/>
        <w:tc>
          <w:tcPr>
            <w:tcW w:w="3528" w:type="dxa"/>
            <w:tcBorders/>
          </w:tcPr>
          <w:p>
            <w:pPr>
              <w:pStyle w:val="Normal"/>
              <w:widowControl/>
              <w:snapToGrid w:val="false"/>
              <w:spacing w:before="60" w:after="0"/>
              <w:ind w:start="270" w:end="0"/>
              <w:jc w:val="both"/>
              <w:rPr>
                <w:sz w:val="20"/>
              </w:rPr>
            </w:pPr>
            <w:r>
              <w:rPr>
                <w:sz w:val="20"/>
              </w:rPr>
            </w:r>
          </w:p>
        </w:tc>
        <w:tc>
          <w:tcPr>
            <w:tcW w:w="5328" w:type="dxa"/>
            <w:gridSpan w:val="3"/>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270" w:end="0"/>
              <w:jc w:val="both"/>
              <w:rPr>
                <w:sz w:val="20"/>
              </w:rPr>
            </w:pPr>
            <w:r>
              <w:rPr>
                <w:sz w:val="20"/>
              </w:rPr>
              <w:t>Payments to Party B:</w:t>
            </w:r>
          </w:p>
        </w:tc>
        <w:tc>
          <w:tcPr>
            <w:tcW w:w="5328" w:type="dxa"/>
            <w:gridSpan w:val="3"/>
            <w:tcBorders/>
          </w:tcPr>
          <w:p>
            <w:pPr>
              <w:pStyle w:val="Normal"/>
              <w:widowControl/>
              <w:spacing w:before="60" w:after="0"/>
              <w:jc w:val="both"/>
              <w:rPr>
                <w:sz w:val="20"/>
              </w:rPr>
            </w:pPr>
            <w:r>
              <w:rPr>
                <w:sz w:val="20"/>
              </w:rPr>
              <w:t>Please advise</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3"/>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5. Governing Law</w:t>
            </w:r>
          </w:p>
        </w:tc>
        <w:tc>
          <w:tcPr>
            <w:tcW w:w="5328" w:type="dxa"/>
            <w:gridSpan w:val="3"/>
            <w:tcBorders/>
          </w:tcPr>
          <w:p>
            <w:pPr>
              <w:pStyle w:val="Normal"/>
              <w:widowControl/>
              <w:spacing w:before="60" w:after="0"/>
              <w:jc w:val="both"/>
              <w:rPr>
                <w:sz w:val="20"/>
              </w:rPr>
            </w:pPr>
            <w:r>
              <w:rPr>
                <w:sz w:val="20"/>
              </w:rPr>
              <w:t>New York law (without reference to choice of law doctrine)</w:t>
            </w:r>
          </w:p>
        </w:tc>
      </w:tr>
    </w:tbl>
    <w:p>
      <w:pPr>
        <w:pStyle w:val="Normal"/>
        <w:widowControl/>
        <w:jc w:val="both"/>
        <w:rPr>
          <w:sz w:val="20"/>
        </w:rPr>
      </w:pPr>
      <w:r>
        <w:rPr>
          <w:sz w:val="20"/>
        </w:rPr>
      </w:r>
    </w:p>
    <w:p>
      <w:pPr>
        <w:pStyle w:val="Normal"/>
        <w:numPr>
          <w:ilvl w:val="0"/>
          <w:numId w:val="1"/>
        </w:numPr>
        <w:jc w:val="both"/>
        <w:rPr>
          <w:sz w:val="20"/>
        </w:rPr>
      </w:pPr>
      <w:r>
        <w:rPr>
          <w:sz w:val="20"/>
        </w:rPr>
        <w:t>Miscellaneous:</w:t>
      </w:r>
    </w:p>
    <w:p>
      <w:pPr>
        <w:pStyle w:val="Normal"/>
        <w:jc w:val="both"/>
        <w:rPr>
          <w:sz w:val="20"/>
        </w:rPr>
      </w:pPr>
      <w:r>
        <w:rPr>
          <w:sz w:val="20"/>
        </w:rPr>
      </w:r>
    </w:p>
    <w:p>
      <w:pPr>
        <w:pStyle w:val="Normal"/>
        <w:ind w:start="720" w:end="0"/>
        <w:jc w:val="both"/>
        <w:rPr/>
      </w:pPr>
      <w:r>
        <w:rPr>
          <w:sz w:val="20"/>
        </w:rPr>
        <w:t xml:space="preserve">a) </w:t>
      </w:r>
      <w:r>
        <w:rPr>
          <w:sz w:val="20"/>
          <w:u w:val="single"/>
        </w:rPr>
        <w:t>Netting</w:t>
      </w:r>
      <w:r>
        <w:rPr>
          <w:sz w:val="20"/>
        </w:rPr>
        <w:t>: If the Payment Dates for two or more Transactions between the parties fall on the same day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540" w:leader="none"/>
        </w:tabs>
        <w:ind w:start="720" w:end="0"/>
        <w:jc w:val="both"/>
        <w:rPr>
          <w:sz w:val="20"/>
        </w:rPr>
      </w:pPr>
      <w:r>
        <w:rPr>
          <w:sz w:val="20"/>
        </w:rPr>
      </w:r>
    </w:p>
    <w:p>
      <w:pPr>
        <w:pStyle w:val="Normal"/>
        <w:widowControl/>
        <w:spacing w:lineRule="atLeast" w:line="240"/>
        <w:ind w:start="720" w:end="0"/>
        <w:jc w:val="both"/>
        <w:rPr/>
      </w:pPr>
      <w:r>
        <w:rPr>
          <w:sz w:val="20"/>
        </w:rPr>
        <w:t xml:space="preserve">b) </w:t>
      </w:r>
      <w:r>
        <w:rPr>
          <w:sz w:val="20"/>
          <w:u w:val="single"/>
        </w:rPr>
        <w:t>Arbitration</w:t>
      </w:r>
      <w:r>
        <w:rPr>
          <w:sz w:val="20"/>
        </w:rPr>
        <w:t xml:space="preserve">: </w:t>
      </w:r>
      <w:r>
        <w:rPr>
          <w:color w:val="000000"/>
          <w:sz w:val="20"/>
        </w:rPr>
        <w:t>All disputes arising in connection with this Transaction shall be settled under the rules of arbitration of the Federal Arbitration Act (“Act”) and, to the extent an issue is not addressed by the federal law on arbitration, by the Commercial Arbitration Rules of the American Arbitration Association (“Rules”). The validity, construction and interpretation of this agreement to arbitrate and all procedural aspects of the arbitration pursuant hereto shall be decided by three arbitrators.  Each party shall nominate one arbitrator who together shall then agree on a third arbitrator within thirty days of their confirmation.  The third arbitrator shall be a person who has over eight years professional experience in over-the-counter derivative products and who has not been previously employed by either party and does not have a direct or indirect interest in either party nor the subject matter of the arbitration.</w:t>
      </w:r>
    </w:p>
    <w:p>
      <w:pPr>
        <w:pStyle w:val="Normal"/>
        <w:widowControl/>
        <w:spacing w:lineRule="atLeast" w:line="240"/>
        <w:ind w:start="720" w:end="0"/>
        <w:jc w:val="both"/>
        <w:rPr>
          <w:color w:val="000000"/>
          <w:sz w:val="20"/>
        </w:rPr>
      </w:pPr>
      <w:r>
        <w:rPr>
          <w:color w:val="000000"/>
          <w:sz w:val="20"/>
        </w:rPr>
      </w:r>
    </w:p>
    <w:p>
      <w:pPr>
        <w:pStyle w:val="Normal"/>
        <w:widowControl/>
        <w:spacing w:lineRule="atLeast" w:line="240"/>
        <w:ind w:start="720" w:end="0"/>
        <w:jc w:val="both"/>
        <w:rPr>
          <w:color w:val="000000"/>
          <w:sz w:val="20"/>
        </w:rPr>
      </w:pPr>
      <w:r>
        <w:rPr>
          <w:color w:val="000000"/>
          <w:sz w:val="20"/>
        </w:rPr>
        <w:t>In deciding the substance of the parties’ claims, the arbitrators shall refer to the Governing Law above. It is agreed that the arbitrators shall have no authority to award treble, exemplary or punitive damages of any type under any circumstances whether or not such damages may be available under the law of any jurisdiction or under the Act or the Rules, the parties hereby waiving their right, if any, to recover any such damages.</w:t>
      </w:r>
    </w:p>
    <w:p>
      <w:pPr>
        <w:pStyle w:val="Normal"/>
        <w:widowControl/>
        <w:spacing w:lineRule="atLeast" w:line="240"/>
        <w:ind w:start="720" w:end="0"/>
        <w:jc w:val="both"/>
        <w:rPr>
          <w:color w:val="000000"/>
          <w:sz w:val="20"/>
        </w:rPr>
      </w:pPr>
      <w:r>
        <w:rPr>
          <w:color w:val="000000"/>
          <w:sz w:val="20"/>
        </w:rPr>
      </w:r>
    </w:p>
    <w:p>
      <w:pPr>
        <w:pStyle w:val="Normal"/>
        <w:widowControl/>
        <w:spacing w:lineRule="atLeast" w:line="240"/>
        <w:ind w:start="720" w:end="0"/>
        <w:jc w:val="both"/>
        <w:rPr>
          <w:sz w:val="20"/>
        </w:rPr>
      </w:pPr>
      <w:r>
        <w:rPr>
          <w:color w:val="000000"/>
          <w:sz w:val="20"/>
        </w:rPr>
        <w:t>The arbitration proceeding shall be conducted in New York, New York. To the fullest extent permitted by law, the parties shall maintain any arbitration proceeding and the arbitrators’ award in confidence.</w:t>
      </w:r>
    </w:p>
    <w:p>
      <w:pPr>
        <w:pStyle w:val="Header"/>
        <w:widowControl/>
        <w:ind w:start="720" w:end="0"/>
        <w:jc w:val="both"/>
        <w:rPr>
          <w:sz w:val="20"/>
        </w:rPr>
      </w:pPr>
      <w:r>
        <w:rPr>
          <w:sz w:val="20"/>
        </w:rPr>
      </w:r>
    </w:p>
    <w:p>
      <w:pPr>
        <w:pStyle w:val="Normal"/>
        <w:keepNext w:val="true"/>
        <w:ind w:start="720" w:end="0"/>
        <w:jc w:val="both"/>
        <w:rPr>
          <w:b/>
          <w:sz w:val="20"/>
        </w:rPr>
      </w:pPr>
      <w:r>
        <w:rPr>
          <w:sz w:val="20"/>
        </w:rPr>
        <w:t>c) Notices:</w:t>
      </w:r>
      <w:r>
        <w:rPr>
          <w:b/>
          <w:sz w:val="20"/>
          <w:u w:val="single"/>
        </w:rPr>
        <w:t xml:space="preserve"> </w:t>
      </w:r>
    </w:p>
    <w:p>
      <w:pPr>
        <w:pStyle w:val="BodyText"/>
        <w:ind w:start="720" w:end="0"/>
        <w:jc w:val="both"/>
        <w:rPr>
          <w:sz w:val="20"/>
        </w:rPr>
      </w:pPr>
      <w:r>
        <w:rPr>
          <w:sz w:val="20"/>
        </w:rPr>
        <w:tab/>
        <w:t>(i)</w:t>
        <w:tab/>
        <w:t>For purposes of Notices in connection with the ISDA Form, the office of Party A is and copies of any notices should be delivered to 1400 Smith Street, Houston, Texas  77002, Attention:  Director, Documentation Department, Facsimile No. (713) 646-4816; and to Attention: Assistant General Counsel, Trading Group - ECT, Facsimile No. (713) 646-4818, at the above address; and</w:t>
      </w:r>
    </w:p>
    <w:p>
      <w:pPr>
        <w:pStyle w:val="Normal"/>
        <w:ind w:start="720" w:end="0"/>
        <w:jc w:val="both"/>
        <w:rPr>
          <w:sz w:val="20"/>
        </w:rPr>
      </w:pPr>
      <w:r>
        <w:rPr>
          <w:sz w:val="20"/>
        </w:rPr>
      </w:r>
    </w:p>
    <w:p>
      <w:pPr>
        <w:pStyle w:val="BodyTextIndent"/>
        <w:tabs>
          <w:tab w:val="left" w:pos="90" w:leader="none"/>
          <w:tab w:val="left" w:pos="1440" w:leader="none"/>
          <w:tab w:val="left" w:pos="2160" w:leader="none"/>
          <w:tab w:val="left" w:pos="6480" w:leader="none"/>
        </w:tabs>
        <w:ind w:start="720" w:end="0"/>
        <w:rPr/>
      </w:pPr>
      <w:r>
        <w:rPr/>
        <w:tab/>
        <w:t>(ii)</w:t>
        <w:tab/>
        <w:t>For purposes of Notices in connection with the ISDA Form, the office of Party B is and copies of any notices should be delivered to: ____________________________, Facsimile No. _______________________.</w:t>
      </w:r>
    </w:p>
    <w:p>
      <w:pPr>
        <w:pStyle w:val="Normal"/>
        <w:jc w:val="both"/>
        <w:rPr>
          <w:sz w:val="20"/>
        </w:rPr>
      </w:pPr>
      <w:r>
        <w:rPr>
          <w:sz w:val="20"/>
        </w:rPr>
      </w:r>
    </w:p>
    <w:p>
      <w:pPr>
        <w:pStyle w:val="Normal"/>
        <w:tabs>
          <w:tab w:val="left" w:pos="360" w:leader="none"/>
          <w:tab w:val="left" w:pos="720" w:leader="none"/>
        </w:tabs>
        <w:jc w:val="both"/>
        <w:rPr/>
      </w:pPr>
      <w:r>
        <w:rPr>
          <w:sz w:val="20"/>
        </w:rPr>
        <w:t>7.</w:t>
      </w:r>
      <w:r>
        <w:rPr>
          <w:b/>
          <w:sz w:val="20"/>
        </w:rPr>
        <w:tab/>
        <w:tab/>
      </w:r>
      <w:r>
        <w:rPr>
          <w:sz w:val="20"/>
        </w:rPr>
        <w:t>Representations.  To induce the other to enter into the Transaction, each party represents and warrants to the other that :</w:t>
      </w:r>
      <w:r>
        <w:rPr>
          <w:rFonts w:cs="Arial Narrow" w:ascii="Arial Narrow" w:hAnsi="Arial Narrow"/>
          <w:sz w:val="20"/>
        </w:rPr>
        <w:t xml:space="preserve"> </w:t>
      </w:r>
      <w:r>
        <w:rPr>
          <w:sz w:val="20"/>
        </w:rPr>
        <w:t xml:space="preserve">(a) </w:t>
      </w:r>
      <w:r>
        <w:rPr>
          <w:sz w:val="20"/>
          <w:u w:val="single"/>
        </w:rPr>
        <w:t>Authority</w:t>
      </w:r>
      <w:r>
        <w:rPr>
          <w:sz w:val="20"/>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0"/>
          <w:u w:val="single"/>
        </w:rPr>
        <w:t>Eligible Swap Participant</w:t>
      </w:r>
      <w:r>
        <w:rPr>
          <w:sz w:val="20"/>
        </w:rPr>
        <w:t xml:space="preserve">: it constitutes an “eligible swap participant” as such term is defined in  17 C.F.R. Section 35.1(b)(2) and this Confirmation constitutes a “swap agreement” within the meaning of 17 C.F.R. Section 35.1(b)(1); and (c) </w:t>
      </w:r>
      <w:r>
        <w:rPr>
          <w:sz w:val="20"/>
          <w:u w:val="single"/>
        </w:rPr>
        <w:t>Line of Business</w:t>
      </w:r>
      <w:r>
        <w:rPr>
          <w:sz w:val="20"/>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sz w:val="20"/>
          <w:u w:val="single"/>
        </w:rPr>
        <w:t>No Reliance and No Advisory Status</w:t>
      </w:r>
      <w:r>
        <w:rPr>
          <w:sz w:val="20"/>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t>
      </w:r>
    </w:p>
    <w:p>
      <w:pPr>
        <w:pStyle w:val="Normal"/>
        <w:tabs>
          <w:tab w:val="left" w:pos="360" w:leader="none"/>
          <w:tab w:val="left" w:pos="720" w:leader="none"/>
        </w:tabs>
        <w:jc w:val="both"/>
        <w:rPr>
          <w:sz w:val="20"/>
        </w:rPr>
      </w:pPr>
      <w:r>
        <w:rPr>
          <w:sz w:val="20"/>
        </w:rPr>
      </w:r>
    </w:p>
    <w:p>
      <w:pPr>
        <w:pStyle w:val="Normal"/>
        <w:widowControl/>
        <w:jc w:val="both"/>
        <w:rPr/>
      </w:pPr>
      <w:r>
        <w:rPr>
          <w:sz w:val="20"/>
        </w:rPr>
        <w:t xml:space="preserve">8. </w:t>
      </w:r>
      <w:r>
        <w:rPr>
          <w:sz w:val="20"/>
          <w:u w:val="single"/>
        </w:rPr>
        <w:t>Tax Representations and Covenants</w:t>
      </w:r>
      <w:r>
        <w:rPr>
          <w:sz w:val="20"/>
        </w:rPr>
        <w:t>:  Party A identifies this Transaction as property being hedged for federal income tax purposes.  Party A identifies the hedging transaction (if any) for this Transaction using the aggregate risk method for federal income tax purposes.  For hedging transactions involving notional principal contracts, Party A uses the method of tax accounting set forth in Treasury Regulation section 1.446-3.</w:t>
      </w:r>
    </w:p>
    <w:p>
      <w:pPr>
        <w:pStyle w:val="Normal"/>
        <w:widowControl/>
        <w:rPr>
          <w:sz w:val="20"/>
        </w:rPr>
      </w:pPr>
      <w:r>
        <w:rPr>
          <w:sz w:val="20"/>
        </w:rPr>
      </w:r>
    </w:p>
    <w:p>
      <w:pPr>
        <w:pStyle w:val="Normal"/>
        <w:widowControl/>
        <w:jc w:val="both"/>
        <w:rPr>
          <w:sz w:val="20"/>
        </w:rPr>
      </w:pPr>
      <w:r>
        <w:rPr>
          <w:sz w:val="20"/>
        </w:rPr>
        <w:t>Party B identifies this Transaction as a hedging transaction for federal income tax purposes.  Party B hereby identifies the Amount and currency described in this Confirmation as the property being hedged.  If Party B is a domestic entity, it uses the method of tax accounting set forth in Treasury Regulation section 1.446-3 for hedging transactions involving notional principal contracts.</w:t>
      </w:r>
    </w:p>
    <w:p>
      <w:pPr>
        <w:pStyle w:val="Normal"/>
        <w:tabs>
          <w:tab w:val="left" w:pos="360" w:leader="none"/>
          <w:tab w:val="left" w:pos="720" w:leader="none"/>
        </w:tabs>
        <w:jc w:val="both"/>
        <w:rPr>
          <w:sz w:val="20"/>
        </w:rPr>
      </w:pPr>
      <w:r>
        <w:rPr>
          <w:sz w:val="20"/>
        </w:rPr>
      </w:r>
    </w:p>
    <w:p>
      <w:pPr>
        <w:pStyle w:val="Normal"/>
        <w:tabs>
          <w:tab w:val="left" w:pos="360" w:leader="none"/>
          <w:tab w:val="left" w:pos="720" w:leader="none"/>
        </w:tabs>
        <w:jc w:val="both"/>
        <w:rPr/>
      </w:pPr>
      <w:r>
        <w:rPr>
          <w:sz w:val="20"/>
        </w:rPr>
        <w:t xml:space="preserve">For purposes of Section 3(e) and 3(f) of the ISDA Agreement, each of the parties makes the representations applicable to it as set forth in Sections I(a) and (b) of </w:t>
      </w:r>
      <w:r>
        <w:rPr>
          <w:sz w:val="20"/>
          <w:u w:val="single"/>
        </w:rPr>
        <w:t>Annex A</w:t>
      </w:r>
      <w:r>
        <w:rPr>
          <w:sz w:val="20"/>
        </w:rPr>
        <w:t xml:space="preserve"> to this Confirmation as of the Trade Date and as of the date of this Confirmation and in the case of the representations given for purposes of Section 3(f) of the ISDA Agreement (which representations are set forth in Section (b) of </w:t>
      </w:r>
      <w:r>
        <w:rPr>
          <w:sz w:val="20"/>
          <w:u w:val="single"/>
        </w:rPr>
        <w:t>Annex A</w:t>
      </w:r>
      <w:r>
        <w:rPr>
          <w:sz w:val="20"/>
        </w:rPr>
        <w:t xml:space="preserve">), at all times until termination of the Transaction.  In addition, each party covenants and agrees that it will deliver to the other party the Tax (as defined in the ISDA Agreement) forms, documents or certificates as required pursuant to Section (c) of </w:t>
      </w:r>
      <w:r>
        <w:rPr>
          <w:sz w:val="20"/>
          <w:u w:val="single"/>
        </w:rPr>
        <w:t>Annex A</w:t>
      </w:r>
      <w:r>
        <w:rPr>
          <w:sz w:val="20"/>
        </w:rPr>
        <w:t>.</w:t>
      </w:r>
    </w:p>
    <w:p>
      <w:pPr>
        <w:pStyle w:val="Normal"/>
        <w:jc w:val="both"/>
        <w:rPr>
          <w:sz w:val="20"/>
        </w:rPr>
      </w:pPr>
      <w:r>
        <w:rPr>
          <w:sz w:val="20"/>
        </w:rPr>
      </w:r>
    </w:p>
    <w:p>
      <w:pPr>
        <w:pStyle w:val="BodyText3"/>
        <w:rPr/>
      </w:pPr>
      <w:r>
        <w:rPr/>
        <w:t>9.</w:t>
        <w:tab/>
        <w:t>Early Termination.  For purposes of Section 6(e) of the ISDA Agreement, the Second Method and Loss shall apply.</w:t>
      </w:r>
    </w:p>
    <w:p>
      <w:pPr>
        <w:pStyle w:val="Normal"/>
        <w:jc w:val="both"/>
        <w:rPr>
          <w:sz w:val="20"/>
        </w:rPr>
      </w:pPr>
      <w:r>
        <w:rPr>
          <w:sz w:val="20"/>
        </w:rPr>
      </w:r>
    </w:p>
    <w:p>
      <w:pPr>
        <w:pStyle w:val="Normal"/>
        <w:tabs>
          <w:tab w:val="clear" w:pos="720"/>
          <w:tab w:val="left" w:pos="810" w:leader="none"/>
          <w:tab w:val="left" w:pos="1170" w:leader="none"/>
        </w:tabs>
        <w:jc w:val="both"/>
        <w:rPr>
          <w:rFonts w:ascii="Arial Narrow" w:hAnsi="Arial Narrow" w:cs="Arial Narrow"/>
          <w:sz w:val="20"/>
        </w:rPr>
      </w:pPr>
      <w:r>
        <w:rPr>
          <w:sz w:val="20"/>
        </w:rPr>
        <w:t>10.</w:t>
        <w:tab/>
        <w:t>Limitation of Liability.</w:t>
      </w:r>
      <w:r>
        <w:rPr>
          <w:b/>
          <w:sz w:val="20"/>
        </w:rPr>
        <w:t xml:space="preserve"> </w:t>
      </w:r>
      <w:r>
        <w:rPr>
          <w:sz w:val="20"/>
        </w:rPr>
        <w:t xml:space="preserve"> </w:t>
      </w:r>
      <w:r>
        <w:rPr>
          <w:b/>
          <w:caps/>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r>
        <w:rPr>
          <w:sz w:val="20"/>
        </w:rPr>
        <w:t xml:space="preserve"> </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sz w:val="20"/>
        </w:rPr>
      </w:pPr>
      <w:r>
        <w:rPr>
          <w:sz w:val="20"/>
        </w:rPr>
        <w:t>Risk Management &amp; Trading Corp. is pleased to have entered into this Transaction with you.</w:t>
      </w:r>
    </w:p>
    <w:p>
      <w:pPr>
        <w:pStyle w:val="Normal"/>
        <w:widowControl/>
        <w:jc w:val="both"/>
        <w:rPr>
          <w:sz w:val="20"/>
        </w:rPr>
      </w:pPr>
      <w:r>
        <w:rPr>
          <w:sz w:val="20"/>
        </w:rPr>
      </w:r>
    </w:p>
    <w:p>
      <w:pPr>
        <w:pStyle w:val="Normal"/>
        <w:widowControl/>
        <w:jc w:val="both"/>
        <w:rPr>
          <w:sz w:val="20"/>
        </w:rPr>
      </w:pPr>
      <w:r>
        <w:rPr>
          <w:sz w:val="20"/>
        </w:rPr>
      </w:r>
    </w:p>
    <w:p>
      <w:pPr>
        <w:pStyle w:val="Normal"/>
        <w:widowControl/>
        <w:ind w:firstLine="720" w:start="3600" w:end="0"/>
        <w:jc w:val="both"/>
        <w:rPr>
          <w:sz w:val="20"/>
        </w:rPr>
      </w:pPr>
      <w:r>
        <w:rPr>
          <w:sz w:val="20"/>
        </w:rPr>
        <w:t>Yours sincerely,</w:t>
      </w:r>
    </w:p>
    <w:p>
      <w:pPr>
        <w:pStyle w:val="Normal"/>
        <w:widowControl/>
        <w:jc w:val="both"/>
        <w:rPr>
          <w:sz w:val="20"/>
        </w:rPr>
      </w:pPr>
      <w:r>
        <w:rPr>
          <w:sz w:val="20"/>
        </w:rPr>
      </w:r>
    </w:p>
    <w:p>
      <w:pPr>
        <w:pStyle w:val="Normal"/>
        <w:widowControl/>
        <w:jc w:val="both"/>
        <w:rPr>
          <w:sz w:val="20"/>
        </w:rPr>
      </w:pPr>
      <w:r>
        <w:rPr>
          <w:sz w:val="20"/>
        </w:rPr>
        <w:tab/>
        <w:tab/>
        <w:tab/>
        <w:tab/>
        <w:tab/>
        <w:tab/>
        <w:t xml:space="preserve">Risk Management &amp; Trading Corp. </w:t>
      </w:r>
    </w:p>
    <w:p>
      <w:pPr>
        <w:pStyle w:val="Normal"/>
        <w:widowControl/>
        <w:jc w:val="both"/>
        <w:rPr>
          <w:sz w:val="20"/>
        </w:rPr>
      </w:pPr>
      <w:r>
        <w:rPr>
          <w:sz w:val="20"/>
        </w:rPr>
        <w:tab/>
        <w:tab/>
        <w:tab/>
        <w:tab/>
        <w:tab/>
        <w:tab/>
      </w:r>
    </w:p>
    <w:p>
      <w:pPr>
        <w:pStyle w:val="Normal"/>
        <w:widowControl/>
        <w:jc w:val="both"/>
        <w:rPr>
          <w:sz w:val="20"/>
        </w:rPr>
      </w:pPr>
      <w:r>
        <w:rPr>
          <w:sz w:val="20"/>
        </w:rPr>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Teeside Power Financing Limited</w:t>
      </w:r>
    </w:p>
    <w:p>
      <w:pPr>
        <w:pStyle w:val="Normal"/>
        <w:widowControl/>
        <w:jc w:val="both"/>
        <w:rPr>
          <w:sz w:val="20"/>
        </w:rPr>
      </w:pPr>
      <w:r>
        <w:rPr>
          <w:sz w:val="20"/>
        </w:rPr>
      </w:r>
    </w:p>
    <w:p>
      <w:pPr>
        <w:pStyle w:val="Normal"/>
        <w:widowControl/>
        <w:jc w:val="both"/>
        <w:rPr>
          <w:sz w:val="20"/>
        </w:rPr>
      </w:pPr>
      <w:r>
        <w:rPr>
          <w:sz w:val="20"/>
        </w:rPr>
        <w:t>By:  _____________________________</w:t>
      </w:r>
    </w:p>
    <w:p>
      <w:pPr>
        <w:pStyle w:val="Normal"/>
        <w:widowControl/>
        <w:jc w:val="both"/>
        <w:rPr>
          <w:sz w:val="20"/>
        </w:rPr>
      </w:pPr>
      <w:r>
        <w:rPr>
          <w:sz w:val="20"/>
        </w:rPr>
        <w:t>Name:  ___________________________</w:t>
      </w:r>
    </w:p>
    <w:p>
      <w:pPr>
        <w:pStyle w:val="Normal"/>
        <w:widowControl/>
        <w:jc w:val="both"/>
        <w:rPr>
          <w:sz w:val="20"/>
        </w:rPr>
      </w:pPr>
      <w:r>
        <w:rPr>
          <w:sz w:val="20"/>
        </w:rPr>
        <w:t>Title:  ____________________________</w:t>
      </w:r>
    </w:p>
    <w:p>
      <w:pPr>
        <w:pStyle w:val="Normal"/>
        <w:widowControl/>
        <w:jc w:val="both"/>
        <w:rPr>
          <w:sz w:val="20"/>
        </w:rPr>
      </w:pPr>
      <w:r>
        <w:rPr>
          <w:sz w:val="20"/>
        </w:rPr>
      </w:r>
      <w:r>
        <w:br w:type="page"/>
      </w:r>
    </w:p>
    <w:p>
      <w:pPr>
        <w:pStyle w:val="Normal"/>
        <w:widowControl/>
        <w:jc w:val="center"/>
        <w:rPr>
          <w:sz w:val="20"/>
        </w:rPr>
      </w:pPr>
      <w:r>
        <w:rPr>
          <w:sz w:val="20"/>
        </w:rPr>
        <w:t>Exhibit I</w:t>
      </w:r>
    </w:p>
    <w:p>
      <w:pPr>
        <w:pStyle w:val="Normal"/>
        <w:widowControl/>
        <w:jc w:val="center"/>
        <w:rPr>
          <w:sz w:val="20"/>
        </w:rPr>
      </w:pPr>
      <w:r>
        <w:rPr>
          <w:sz w:val="20"/>
        </w:rPr>
      </w:r>
    </w:p>
    <w:tbl>
      <w:tblPr>
        <w:tblW w:w="9198" w:type="dxa"/>
        <w:jc w:val="start"/>
        <w:tblInd w:w="0" w:type="dxa"/>
        <w:tblLayout w:type="fixed"/>
        <w:tblCellMar>
          <w:top w:w="0" w:type="dxa"/>
          <w:start w:w="108" w:type="dxa"/>
          <w:bottom w:w="0" w:type="dxa"/>
          <w:end w:w="108" w:type="dxa"/>
        </w:tblCellMar>
      </w:tblPr>
      <w:tblGrid>
        <w:gridCol w:w="3348"/>
        <w:gridCol w:w="3060"/>
        <w:gridCol w:w="2790"/>
      </w:tblGrid>
      <w:tr>
        <w:trPr/>
        <w:tc>
          <w:tcPr>
            <w:tcW w:w="3348" w:type="dxa"/>
            <w:tcBorders/>
          </w:tcPr>
          <w:p>
            <w:pPr>
              <w:pStyle w:val="Normal"/>
              <w:widowControl/>
              <w:rPr>
                <w:sz w:val="20"/>
              </w:rPr>
            </w:pPr>
            <w:r>
              <w:rPr>
                <w:sz w:val="20"/>
              </w:rPr>
              <w:t>Calculation Period</w:t>
            </w:r>
          </w:p>
        </w:tc>
        <w:tc>
          <w:tcPr>
            <w:tcW w:w="3060" w:type="dxa"/>
            <w:tcBorders/>
          </w:tcPr>
          <w:p>
            <w:pPr>
              <w:pStyle w:val="Normal"/>
              <w:widowControl/>
              <w:ind w:start="-18" w:end="0"/>
              <w:rPr>
                <w:sz w:val="20"/>
              </w:rPr>
            </w:pPr>
            <w:r>
              <w:rPr>
                <w:sz w:val="20"/>
              </w:rPr>
              <w:t>USD Payer Currency Amount</w:t>
            </w:r>
          </w:p>
        </w:tc>
        <w:tc>
          <w:tcPr>
            <w:tcW w:w="2790" w:type="dxa"/>
            <w:tcBorders/>
          </w:tcPr>
          <w:p>
            <w:pPr>
              <w:pStyle w:val="Normal"/>
              <w:widowControl/>
              <w:ind w:start="-108" w:end="0"/>
              <w:rPr>
                <w:sz w:val="20"/>
              </w:rPr>
            </w:pPr>
            <w:r>
              <w:rPr>
                <w:sz w:val="20"/>
              </w:rPr>
              <w:t>GBP Payer Currency Amount</w:t>
            </w:r>
          </w:p>
        </w:tc>
      </w:tr>
      <w:tr>
        <w:trPr/>
        <w:tc>
          <w:tcPr>
            <w:tcW w:w="3348" w:type="dxa"/>
            <w:tcBorders/>
          </w:tcPr>
          <w:p>
            <w:pPr>
              <w:pStyle w:val="Normal"/>
              <w:widowControl/>
              <w:snapToGrid w:val="false"/>
              <w:rPr>
                <w:sz w:val="20"/>
              </w:rPr>
            </w:pPr>
            <w:r>
              <w:rPr>
                <w:sz w:val="20"/>
              </w:rPr>
            </w:r>
          </w:p>
        </w:tc>
        <w:tc>
          <w:tcPr>
            <w:tcW w:w="3060" w:type="dxa"/>
            <w:tcBorders/>
          </w:tcPr>
          <w:p>
            <w:pPr>
              <w:pStyle w:val="Normal"/>
              <w:widowControl/>
              <w:snapToGrid w:val="false"/>
              <w:rPr>
                <w:sz w:val="20"/>
              </w:rPr>
            </w:pPr>
            <w:r>
              <w:rPr>
                <w:sz w:val="20"/>
              </w:rPr>
            </w:r>
          </w:p>
        </w:tc>
        <w:tc>
          <w:tcPr>
            <w:tcW w:w="2790" w:type="dxa"/>
            <w:tcBorders/>
          </w:tcPr>
          <w:p>
            <w:pPr>
              <w:pStyle w:val="Normal"/>
              <w:widowControl/>
              <w:snapToGrid w:val="false"/>
              <w:ind w:start="-108" w:end="0"/>
              <w:rPr>
                <w:sz w:val="20"/>
              </w:rPr>
            </w:pPr>
            <w:r>
              <w:rPr>
                <w:sz w:val="20"/>
              </w:rPr>
            </w:r>
          </w:p>
        </w:tc>
      </w:tr>
      <w:tr>
        <w:trPr/>
        <w:tc>
          <w:tcPr>
            <w:tcW w:w="3348" w:type="dxa"/>
            <w:tcBorders/>
          </w:tcPr>
          <w:p>
            <w:pPr>
              <w:pStyle w:val="Normal"/>
              <w:widowControl/>
              <w:rPr>
                <w:sz w:val="20"/>
              </w:rPr>
            </w:pPr>
            <w:r>
              <w:rPr>
                <w:sz w:val="20"/>
              </w:rPr>
              <w:t>June 4, 1999-December 15, 1999</w:t>
            </w:r>
          </w:p>
        </w:tc>
        <w:tc>
          <w:tcPr>
            <w:tcW w:w="3060" w:type="dxa"/>
            <w:tcBorders/>
          </w:tcPr>
          <w:p>
            <w:pPr>
              <w:pStyle w:val="Normal"/>
              <w:widowControl/>
              <w:rPr>
                <w:sz w:val="20"/>
              </w:rPr>
            </w:pPr>
            <w:r>
              <w:rPr>
                <w:sz w:val="20"/>
              </w:rPr>
              <w:t>USD 101,808,000.00</w:t>
            </w:r>
          </w:p>
        </w:tc>
        <w:tc>
          <w:tcPr>
            <w:tcW w:w="2790" w:type="dxa"/>
            <w:tcBorders/>
          </w:tcPr>
          <w:p>
            <w:pPr>
              <w:pStyle w:val="Normal"/>
              <w:widowControl/>
              <w:ind w:start="-108" w:end="0"/>
              <w:rPr>
                <w:sz w:val="20"/>
              </w:rPr>
            </w:pPr>
            <w:r>
              <w:rPr>
                <w:sz w:val="20"/>
              </w:rPr>
              <w:t>GBP 63,000,000.00</w:t>
            </w:r>
          </w:p>
        </w:tc>
      </w:tr>
      <w:tr>
        <w:trPr/>
        <w:tc>
          <w:tcPr>
            <w:tcW w:w="3348" w:type="dxa"/>
            <w:tcBorders/>
          </w:tcPr>
          <w:p>
            <w:pPr>
              <w:pStyle w:val="Normal"/>
              <w:widowControl/>
              <w:rPr>
                <w:sz w:val="20"/>
              </w:rPr>
            </w:pPr>
            <w:r>
              <w:rPr>
                <w:sz w:val="20"/>
              </w:rPr>
              <w:t>December 15, 1999-June 15, 2000</w:t>
            </w:r>
          </w:p>
        </w:tc>
        <w:tc>
          <w:tcPr>
            <w:tcW w:w="3060" w:type="dxa"/>
            <w:tcBorders/>
          </w:tcPr>
          <w:p>
            <w:pPr>
              <w:pStyle w:val="Normal"/>
              <w:widowControl/>
              <w:rPr>
                <w:sz w:val="20"/>
              </w:rPr>
            </w:pPr>
            <w:r>
              <w:rPr>
                <w:sz w:val="20"/>
              </w:rPr>
              <w:t>USD 101,808,000.00</w:t>
            </w:r>
          </w:p>
        </w:tc>
        <w:tc>
          <w:tcPr>
            <w:tcW w:w="2790" w:type="dxa"/>
            <w:tcBorders/>
          </w:tcPr>
          <w:p>
            <w:pPr>
              <w:pStyle w:val="Normal"/>
              <w:widowControl/>
              <w:ind w:start="-108" w:end="0"/>
              <w:rPr>
                <w:sz w:val="20"/>
              </w:rPr>
            </w:pPr>
            <w:r>
              <w:rPr>
                <w:sz w:val="20"/>
              </w:rPr>
              <w:t>GBP 63,000,000.00</w:t>
            </w:r>
          </w:p>
        </w:tc>
      </w:tr>
      <w:tr>
        <w:trPr/>
        <w:tc>
          <w:tcPr>
            <w:tcW w:w="3348" w:type="dxa"/>
            <w:tcBorders/>
          </w:tcPr>
          <w:p>
            <w:pPr>
              <w:pStyle w:val="Normal"/>
              <w:widowControl/>
              <w:rPr>
                <w:sz w:val="20"/>
              </w:rPr>
            </w:pPr>
            <w:r>
              <w:rPr>
                <w:sz w:val="20"/>
              </w:rPr>
              <w:t>June 15, 2000-December 15, 2000</w:t>
            </w:r>
          </w:p>
        </w:tc>
        <w:tc>
          <w:tcPr>
            <w:tcW w:w="3060" w:type="dxa"/>
            <w:tcBorders/>
          </w:tcPr>
          <w:p>
            <w:pPr>
              <w:pStyle w:val="Normal"/>
              <w:widowControl/>
              <w:rPr>
                <w:sz w:val="20"/>
              </w:rPr>
            </w:pPr>
            <w:r>
              <w:rPr>
                <w:sz w:val="20"/>
              </w:rPr>
              <w:t>USD 99,771,840.00</w:t>
            </w:r>
          </w:p>
        </w:tc>
        <w:tc>
          <w:tcPr>
            <w:tcW w:w="2790" w:type="dxa"/>
            <w:tcBorders/>
          </w:tcPr>
          <w:p>
            <w:pPr>
              <w:pStyle w:val="Normal"/>
              <w:widowControl/>
              <w:ind w:start="-108" w:end="0"/>
              <w:rPr>
                <w:sz w:val="20"/>
              </w:rPr>
            </w:pPr>
            <w:r>
              <w:rPr>
                <w:sz w:val="20"/>
              </w:rPr>
              <w:t>GBP 61,740,000.00</w:t>
            </w:r>
          </w:p>
        </w:tc>
      </w:tr>
      <w:tr>
        <w:trPr/>
        <w:tc>
          <w:tcPr>
            <w:tcW w:w="3348" w:type="dxa"/>
            <w:tcBorders/>
          </w:tcPr>
          <w:p>
            <w:pPr>
              <w:pStyle w:val="Normal"/>
              <w:widowControl/>
              <w:rPr>
                <w:sz w:val="20"/>
              </w:rPr>
            </w:pPr>
            <w:r>
              <w:rPr>
                <w:sz w:val="20"/>
              </w:rPr>
              <w:t>December 15, 2000-June 15, 2001</w:t>
            </w:r>
          </w:p>
        </w:tc>
        <w:tc>
          <w:tcPr>
            <w:tcW w:w="3060" w:type="dxa"/>
            <w:tcBorders/>
          </w:tcPr>
          <w:p>
            <w:pPr>
              <w:pStyle w:val="Normal"/>
              <w:widowControl/>
              <w:rPr>
                <w:sz w:val="20"/>
              </w:rPr>
            </w:pPr>
            <w:r>
              <w:rPr>
                <w:sz w:val="20"/>
              </w:rPr>
              <w:t>USD 97,735,680.00</w:t>
            </w:r>
          </w:p>
        </w:tc>
        <w:tc>
          <w:tcPr>
            <w:tcW w:w="2790" w:type="dxa"/>
            <w:tcBorders/>
          </w:tcPr>
          <w:p>
            <w:pPr>
              <w:pStyle w:val="Normal"/>
              <w:widowControl/>
              <w:ind w:start="-108" w:end="0"/>
              <w:rPr>
                <w:sz w:val="20"/>
              </w:rPr>
            </w:pPr>
            <w:r>
              <w:rPr>
                <w:sz w:val="20"/>
              </w:rPr>
              <w:t>GBP 60,480,000.00</w:t>
            </w:r>
          </w:p>
        </w:tc>
      </w:tr>
      <w:tr>
        <w:trPr/>
        <w:tc>
          <w:tcPr>
            <w:tcW w:w="3348" w:type="dxa"/>
            <w:tcBorders/>
          </w:tcPr>
          <w:p>
            <w:pPr>
              <w:pStyle w:val="Normal"/>
              <w:widowControl/>
              <w:rPr>
                <w:sz w:val="20"/>
              </w:rPr>
            </w:pPr>
            <w:r>
              <w:rPr>
                <w:sz w:val="20"/>
              </w:rPr>
              <w:t>June 15, 2001-December 15, 2001</w:t>
            </w:r>
          </w:p>
        </w:tc>
        <w:tc>
          <w:tcPr>
            <w:tcW w:w="3060" w:type="dxa"/>
            <w:tcBorders/>
          </w:tcPr>
          <w:p>
            <w:pPr>
              <w:pStyle w:val="Normal"/>
              <w:widowControl/>
              <w:rPr>
                <w:sz w:val="20"/>
              </w:rPr>
            </w:pPr>
            <w:r>
              <w:rPr>
                <w:sz w:val="20"/>
              </w:rPr>
              <w:t>USD 93,663,360.00</w:t>
            </w:r>
          </w:p>
        </w:tc>
        <w:tc>
          <w:tcPr>
            <w:tcW w:w="2790" w:type="dxa"/>
            <w:tcBorders/>
          </w:tcPr>
          <w:p>
            <w:pPr>
              <w:pStyle w:val="Normal"/>
              <w:widowControl/>
              <w:ind w:start="-108" w:end="0"/>
              <w:rPr>
                <w:sz w:val="20"/>
              </w:rPr>
            </w:pPr>
            <w:r>
              <w:rPr>
                <w:sz w:val="20"/>
              </w:rPr>
              <w:t>GBP 57,960,000.00</w:t>
            </w:r>
          </w:p>
        </w:tc>
      </w:tr>
      <w:tr>
        <w:trPr/>
        <w:tc>
          <w:tcPr>
            <w:tcW w:w="3348" w:type="dxa"/>
            <w:tcBorders/>
          </w:tcPr>
          <w:p>
            <w:pPr>
              <w:pStyle w:val="Normal"/>
              <w:widowControl/>
              <w:rPr>
                <w:sz w:val="20"/>
              </w:rPr>
            </w:pPr>
            <w:r>
              <w:rPr>
                <w:sz w:val="20"/>
              </w:rPr>
              <w:t>December 15, 2001-June 15, 2002</w:t>
            </w:r>
          </w:p>
        </w:tc>
        <w:tc>
          <w:tcPr>
            <w:tcW w:w="3060" w:type="dxa"/>
            <w:tcBorders/>
          </w:tcPr>
          <w:p>
            <w:pPr>
              <w:pStyle w:val="Normal"/>
              <w:widowControl/>
              <w:rPr>
                <w:sz w:val="20"/>
              </w:rPr>
            </w:pPr>
            <w:r>
              <w:rPr>
                <w:sz w:val="20"/>
              </w:rPr>
              <w:t>USD 89,591,040.00</w:t>
            </w:r>
          </w:p>
        </w:tc>
        <w:tc>
          <w:tcPr>
            <w:tcW w:w="2790" w:type="dxa"/>
            <w:tcBorders/>
          </w:tcPr>
          <w:p>
            <w:pPr>
              <w:pStyle w:val="Normal"/>
              <w:widowControl/>
              <w:ind w:start="-108" w:end="0"/>
              <w:rPr>
                <w:sz w:val="20"/>
              </w:rPr>
            </w:pPr>
            <w:r>
              <w:rPr>
                <w:sz w:val="20"/>
              </w:rPr>
              <w:t>GBP 55,440,000.00</w:t>
            </w:r>
          </w:p>
        </w:tc>
      </w:tr>
      <w:tr>
        <w:trPr/>
        <w:tc>
          <w:tcPr>
            <w:tcW w:w="3348" w:type="dxa"/>
            <w:tcBorders/>
          </w:tcPr>
          <w:p>
            <w:pPr>
              <w:pStyle w:val="Normal"/>
              <w:widowControl/>
              <w:rPr>
                <w:sz w:val="20"/>
              </w:rPr>
            </w:pPr>
            <w:r>
              <w:rPr>
                <w:sz w:val="20"/>
              </w:rPr>
              <w:t>June 15, 2002-December 15, 2002</w:t>
            </w:r>
          </w:p>
        </w:tc>
        <w:tc>
          <w:tcPr>
            <w:tcW w:w="3060" w:type="dxa"/>
            <w:tcBorders/>
          </w:tcPr>
          <w:p>
            <w:pPr>
              <w:pStyle w:val="Normal"/>
              <w:widowControl/>
              <w:rPr>
                <w:sz w:val="20"/>
              </w:rPr>
            </w:pPr>
            <w:r>
              <w:rPr>
                <w:sz w:val="20"/>
              </w:rPr>
              <w:t>USD 84,500,640.00</w:t>
            </w:r>
          </w:p>
        </w:tc>
        <w:tc>
          <w:tcPr>
            <w:tcW w:w="2790" w:type="dxa"/>
            <w:tcBorders/>
          </w:tcPr>
          <w:p>
            <w:pPr>
              <w:pStyle w:val="Normal"/>
              <w:widowControl/>
              <w:ind w:start="-108" w:end="0"/>
              <w:rPr>
                <w:sz w:val="20"/>
              </w:rPr>
            </w:pPr>
            <w:r>
              <w:rPr>
                <w:sz w:val="20"/>
              </w:rPr>
              <w:t>GBP 52,290,000.00</w:t>
            </w:r>
          </w:p>
        </w:tc>
      </w:tr>
      <w:tr>
        <w:trPr/>
        <w:tc>
          <w:tcPr>
            <w:tcW w:w="3348" w:type="dxa"/>
            <w:tcBorders/>
          </w:tcPr>
          <w:p>
            <w:pPr>
              <w:pStyle w:val="Normal"/>
              <w:widowControl/>
              <w:rPr>
                <w:sz w:val="20"/>
              </w:rPr>
            </w:pPr>
            <w:r>
              <w:rPr>
                <w:sz w:val="20"/>
              </w:rPr>
              <w:t>December 15, 2002-June 15, 2003</w:t>
            </w:r>
          </w:p>
        </w:tc>
        <w:tc>
          <w:tcPr>
            <w:tcW w:w="3060" w:type="dxa"/>
            <w:tcBorders/>
          </w:tcPr>
          <w:p>
            <w:pPr>
              <w:pStyle w:val="Normal"/>
              <w:widowControl/>
              <w:rPr>
                <w:sz w:val="20"/>
              </w:rPr>
            </w:pPr>
            <w:r>
              <w:rPr>
                <w:sz w:val="20"/>
              </w:rPr>
              <w:t>USD 79,410,240.00</w:t>
            </w:r>
          </w:p>
        </w:tc>
        <w:tc>
          <w:tcPr>
            <w:tcW w:w="2790" w:type="dxa"/>
            <w:tcBorders/>
          </w:tcPr>
          <w:p>
            <w:pPr>
              <w:pStyle w:val="Normal"/>
              <w:widowControl/>
              <w:ind w:start="-108" w:end="0"/>
              <w:rPr>
                <w:sz w:val="20"/>
              </w:rPr>
            </w:pPr>
            <w:r>
              <w:rPr>
                <w:sz w:val="20"/>
              </w:rPr>
              <w:t>GBP 49,140,000.00</w:t>
            </w:r>
          </w:p>
        </w:tc>
      </w:tr>
      <w:tr>
        <w:trPr/>
        <w:tc>
          <w:tcPr>
            <w:tcW w:w="3348" w:type="dxa"/>
            <w:tcBorders/>
          </w:tcPr>
          <w:p>
            <w:pPr>
              <w:pStyle w:val="Normal"/>
              <w:widowControl/>
              <w:rPr>
                <w:sz w:val="20"/>
              </w:rPr>
            </w:pPr>
            <w:r>
              <w:rPr>
                <w:sz w:val="20"/>
              </w:rPr>
              <w:t>June 15, 2003-December 15, 2003</w:t>
            </w:r>
          </w:p>
        </w:tc>
        <w:tc>
          <w:tcPr>
            <w:tcW w:w="3060" w:type="dxa"/>
            <w:tcBorders/>
          </w:tcPr>
          <w:p>
            <w:pPr>
              <w:pStyle w:val="Normal"/>
              <w:widowControl/>
              <w:rPr>
                <w:sz w:val="20"/>
              </w:rPr>
            </w:pPr>
            <w:r>
              <w:rPr>
                <w:sz w:val="20"/>
              </w:rPr>
              <w:t>USD 75,846,960.00</w:t>
            </w:r>
          </w:p>
        </w:tc>
        <w:tc>
          <w:tcPr>
            <w:tcW w:w="2790" w:type="dxa"/>
            <w:tcBorders/>
          </w:tcPr>
          <w:p>
            <w:pPr>
              <w:pStyle w:val="Normal"/>
              <w:widowControl/>
              <w:ind w:start="-108" w:end="0"/>
              <w:rPr>
                <w:sz w:val="20"/>
              </w:rPr>
            </w:pPr>
            <w:r>
              <w:rPr>
                <w:sz w:val="20"/>
              </w:rPr>
              <w:t>GBP 46,935,000.00</w:t>
            </w:r>
          </w:p>
        </w:tc>
      </w:tr>
      <w:tr>
        <w:trPr/>
        <w:tc>
          <w:tcPr>
            <w:tcW w:w="3348" w:type="dxa"/>
            <w:tcBorders/>
          </w:tcPr>
          <w:p>
            <w:pPr>
              <w:pStyle w:val="Normal"/>
              <w:widowControl/>
              <w:rPr>
                <w:sz w:val="20"/>
              </w:rPr>
            </w:pPr>
            <w:r>
              <w:rPr>
                <w:sz w:val="20"/>
              </w:rPr>
              <w:t>December 15, 2003-June 15, 2004</w:t>
            </w:r>
          </w:p>
        </w:tc>
        <w:tc>
          <w:tcPr>
            <w:tcW w:w="3060" w:type="dxa"/>
            <w:tcBorders/>
          </w:tcPr>
          <w:p>
            <w:pPr>
              <w:pStyle w:val="Normal"/>
              <w:widowControl/>
              <w:rPr>
                <w:sz w:val="20"/>
              </w:rPr>
            </w:pPr>
            <w:r>
              <w:rPr>
                <w:sz w:val="20"/>
              </w:rPr>
              <w:t>USD 72,283,680.00</w:t>
            </w:r>
          </w:p>
        </w:tc>
        <w:tc>
          <w:tcPr>
            <w:tcW w:w="2790" w:type="dxa"/>
            <w:tcBorders/>
          </w:tcPr>
          <w:p>
            <w:pPr>
              <w:pStyle w:val="Normal"/>
              <w:widowControl/>
              <w:ind w:start="-108" w:end="0"/>
              <w:rPr>
                <w:sz w:val="20"/>
              </w:rPr>
            </w:pPr>
            <w:r>
              <w:rPr>
                <w:sz w:val="20"/>
              </w:rPr>
              <w:t>GBP 44,730,000.00</w:t>
            </w:r>
          </w:p>
        </w:tc>
      </w:tr>
      <w:tr>
        <w:trPr/>
        <w:tc>
          <w:tcPr>
            <w:tcW w:w="3348" w:type="dxa"/>
            <w:tcBorders/>
          </w:tcPr>
          <w:p>
            <w:pPr>
              <w:pStyle w:val="Normal"/>
              <w:widowControl/>
              <w:rPr>
                <w:sz w:val="20"/>
              </w:rPr>
            </w:pPr>
            <w:r>
              <w:rPr>
                <w:sz w:val="20"/>
              </w:rPr>
              <w:t>June 15, 2004-December 15, 2004</w:t>
            </w:r>
          </w:p>
        </w:tc>
        <w:tc>
          <w:tcPr>
            <w:tcW w:w="3060" w:type="dxa"/>
            <w:tcBorders/>
          </w:tcPr>
          <w:p>
            <w:pPr>
              <w:pStyle w:val="Normal"/>
              <w:widowControl/>
              <w:rPr>
                <w:sz w:val="20"/>
              </w:rPr>
            </w:pPr>
            <w:r>
              <w:rPr>
                <w:sz w:val="20"/>
              </w:rPr>
              <w:t>USD 64,648,080.00</w:t>
            </w:r>
          </w:p>
        </w:tc>
        <w:tc>
          <w:tcPr>
            <w:tcW w:w="2790" w:type="dxa"/>
            <w:tcBorders/>
          </w:tcPr>
          <w:p>
            <w:pPr>
              <w:pStyle w:val="Normal"/>
              <w:widowControl/>
              <w:ind w:start="-108" w:end="0"/>
              <w:rPr>
                <w:sz w:val="20"/>
              </w:rPr>
            </w:pPr>
            <w:r>
              <w:rPr>
                <w:sz w:val="20"/>
              </w:rPr>
              <w:t>GBP 40,005,000.00</w:t>
            </w:r>
          </w:p>
        </w:tc>
      </w:tr>
      <w:tr>
        <w:trPr/>
        <w:tc>
          <w:tcPr>
            <w:tcW w:w="3348" w:type="dxa"/>
            <w:tcBorders/>
          </w:tcPr>
          <w:p>
            <w:pPr>
              <w:pStyle w:val="Normal"/>
              <w:widowControl/>
              <w:rPr>
                <w:sz w:val="20"/>
              </w:rPr>
            </w:pPr>
            <w:r>
              <w:rPr>
                <w:sz w:val="20"/>
              </w:rPr>
              <w:t>December 15, 2004-June 15, 2005</w:t>
            </w:r>
          </w:p>
        </w:tc>
        <w:tc>
          <w:tcPr>
            <w:tcW w:w="3060" w:type="dxa"/>
            <w:tcBorders/>
          </w:tcPr>
          <w:p>
            <w:pPr>
              <w:pStyle w:val="Normal"/>
              <w:widowControl/>
              <w:rPr>
                <w:sz w:val="20"/>
              </w:rPr>
            </w:pPr>
            <w:r>
              <w:rPr>
                <w:sz w:val="20"/>
              </w:rPr>
              <w:t>USD 57,012,480.00</w:t>
            </w:r>
          </w:p>
        </w:tc>
        <w:tc>
          <w:tcPr>
            <w:tcW w:w="2790" w:type="dxa"/>
            <w:tcBorders/>
          </w:tcPr>
          <w:p>
            <w:pPr>
              <w:pStyle w:val="Normal"/>
              <w:widowControl/>
              <w:ind w:start="-108" w:end="0"/>
              <w:rPr>
                <w:sz w:val="20"/>
              </w:rPr>
            </w:pPr>
            <w:r>
              <w:rPr>
                <w:sz w:val="20"/>
              </w:rPr>
              <w:t>GBP 35,725,000.00</w:t>
            </w:r>
          </w:p>
        </w:tc>
      </w:tr>
      <w:tr>
        <w:trPr/>
        <w:tc>
          <w:tcPr>
            <w:tcW w:w="3348" w:type="dxa"/>
            <w:tcBorders/>
          </w:tcPr>
          <w:p>
            <w:pPr>
              <w:pStyle w:val="Normal"/>
              <w:widowControl/>
              <w:rPr>
                <w:sz w:val="20"/>
              </w:rPr>
            </w:pPr>
            <w:r>
              <w:rPr>
                <w:sz w:val="20"/>
              </w:rPr>
              <w:t>June 15, 2005-December 15, 2005</w:t>
            </w:r>
          </w:p>
        </w:tc>
        <w:tc>
          <w:tcPr>
            <w:tcW w:w="3060" w:type="dxa"/>
            <w:tcBorders/>
          </w:tcPr>
          <w:p>
            <w:pPr>
              <w:pStyle w:val="Normal"/>
              <w:widowControl/>
              <w:rPr>
                <w:sz w:val="20"/>
              </w:rPr>
            </w:pPr>
            <w:r>
              <w:rPr>
                <w:sz w:val="20"/>
              </w:rPr>
              <w:t>USD 48,358,800.00</w:t>
            </w:r>
          </w:p>
        </w:tc>
        <w:tc>
          <w:tcPr>
            <w:tcW w:w="2790" w:type="dxa"/>
            <w:tcBorders/>
          </w:tcPr>
          <w:p>
            <w:pPr>
              <w:pStyle w:val="Normal"/>
              <w:widowControl/>
              <w:ind w:start="-108" w:end="0"/>
              <w:rPr>
                <w:sz w:val="20"/>
              </w:rPr>
            </w:pPr>
            <w:r>
              <w:rPr>
                <w:sz w:val="20"/>
              </w:rPr>
              <w:t>GBP 29,925,000.00</w:t>
            </w:r>
          </w:p>
        </w:tc>
      </w:tr>
      <w:tr>
        <w:trPr/>
        <w:tc>
          <w:tcPr>
            <w:tcW w:w="3348" w:type="dxa"/>
            <w:tcBorders/>
          </w:tcPr>
          <w:p>
            <w:pPr>
              <w:pStyle w:val="Normal"/>
              <w:widowControl/>
              <w:rPr>
                <w:sz w:val="20"/>
              </w:rPr>
            </w:pPr>
            <w:r>
              <w:rPr>
                <w:sz w:val="20"/>
              </w:rPr>
              <w:t>December 15, 2005-June 15, 2006</w:t>
            </w:r>
          </w:p>
        </w:tc>
        <w:tc>
          <w:tcPr>
            <w:tcW w:w="3060" w:type="dxa"/>
            <w:tcBorders/>
          </w:tcPr>
          <w:p>
            <w:pPr>
              <w:pStyle w:val="Normal"/>
              <w:widowControl/>
              <w:rPr>
                <w:sz w:val="20"/>
              </w:rPr>
            </w:pPr>
            <w:r>
              <w:rPr>
                <w:sz w:val="20"/>
              </w:rPr>
              <w:t>USD 39,705,120.00</w:t>
            </w:r>
          </w:p>
        </w:tc>
        <w:tc>
          <w:tcPr>
            <w:tcW w:w="2790" w:type="dxa"/>
            <w:tcBorders/>
          </w:tcPr>
          <w:p>
            <w:pPr>
              <w:pStyle w:val="Normal"/>
              <w:widowControl/>
              <w:ind w:start="-108" w:end="0"/>
              <w:rPr>
                <w:sz w:val="20"/>
              </w:rPr>
            </w:pPr>
            <w:r>
              <w:rPr>
                <w:sz w:val="20"/>
              </w:rPr>
              <w:t>GBP 24,570,000.00</w:t>
            </w:r>
          </w:p>
        </w:tc>
      </w:tr>
      <w:tr>
        <w:trPr/>
        <w:tc>
          <w:tcPr>
            <w:tcW w:w="3348" w:type="dxa"/>
            <w:tcBorders/>
          </w:tcPr>
          <w:p>
            <w:pPr>
              <w:pStyle w:val="Normal"/>
              <w:widowControl/>
              <w:rPr>
                <w:sz w:val="20"/>
              </w:rPr>
            </w:pPr>
            <w:r>
              <w:rPr>
                <w:sz w:val="20"/>
              </w:rPr>
              <w:t>June 15, 2006-December 15, 2006</w:t>
            </w:r>
          </w:p>
        </w:tc>
        <w:tc>
          <w:tcPr>
            <w:tcW w:w="3060" w:type="dxa"/>
            <w:tcBorders/>
          </w:tcPr>
          <w:p>
            <w:pPr>
              <w:pStyle w:val="Normal"/>
              <w:widowControl/>
              <w:rPr>
                <w:sz w:val="20"/>
              </w:rPr>
            </w:pPr>
            <w:r>
              <w:rPr>
                <w:sz w:val="20"/>
              </w:rPr>
              <w:t>USD 39,705,120.00</w:t>
            </w:r>
          </w:p>
        </w:tc>
        <w:tc>
          <w:tcPr>
            <w:tcW w:w="2790" w:type="dxa"/>
            <w:tcBorders/>
          </w:tcPr>
          <w:p>
            <w:pPr>
              <w:pStyle w:val="Normal"/>
              <w:widowControl/>
              <w:ind w:start="-108" w:end="0"/>
              <w:rPr>
                <w:sz w:val="20"/>
              </w:rPr>
            </w:pPr>
            <w:r>
              <w:rPr>
                <w:sz w:val="20"/>
              </w:rPr>
              <w:t>GBP 24,570,000.00</w:t>
            </w:r>
          </w:p>
        </w:tc>
      </w:tr>
      <w:tr>
        <w:trPr/>
        <w:tc>
          <w:tcPr>
            <w:tcW w:w="3348" w:type="dxa"/>
            <w:tcBorders/>
          </w:tcPr>
          <w:p>
            <w:pPr>
              <w:pStyle w:val="Normal"/>
              <w:widowControl/>
              <w:rPr>
                <w:sz w:val="20"/>
              </w:rPr>
            </w:pPr>
            <w:r>
              <w:rPr>
                <w:sz w:val="20"/>
              </w:rPr>
              <w:t>December 15, 2006-June 15, 2007</w:t>
            </w:r>
          </w:p>
        </w:tc>
        <w:tc>
          <w:tcPr>
            <w:tcW w:w="3060" w:type="dxa"/>
            <w:tcBorders/>
          </w:tcPr>
          <w:p>
            <w:pPr>
              <w:pStyle w:val="Normal"/>
              <w:widowControl/>
              <w:rPr>
                <w:sz w:val="20"/>
              </w:rPr>
            </w:pPr>
            <w:r>
              <w:rPr>
                <w:sz w:val="20"/>
              </w:rPr>
              <w:t>USD 39,705,120.00</w:t>
            </w:r>
          </w:p>
        </w:tc>
        <w:tc>
          <w:tcPr>
            <w:tcW w:w="2790" w:type="dxa"/>
            <w:tcBorders/>
          </w:tcPr>
          <w:p>
            <w:pPr>
              <w:pStyle w:val="Normal"/>
              <w:widowControl/>
              <w:ind w:start="-108" w:end="0"/>
              <w:rPr>
                <w:sz w:val="20"/>
              </w:rPr>
            </w:pPr>
            <w:r>
              <w:rPr>
                <w:sz w:val="20"/>
              </w:rPr>
              <w:t>GBP 24,570,000.00</w:t>
            </w:r>
          </w:p>
        </w:tc>
      </w:tr>
      <w:tr>
        <w:trPr/>
        <w:tc>
          <w:tcPr>
            <w:tcW w:w="3348" w:type="dxa"/>
            <w:tcBorders/>
          </w:tcPr>
          <w:p>
            <w:pPr>
              <w:pStyle w:val="Normal"/>
              <w:widowControl/>
              <w:rPr>
                <w:sz w:val="20"/>
              </w:rPr>
            </w:pPr>
            <w:r>
              <w:rPr>
                <w:sz w:val="20"/>
              </w:rPr>
              <w:t>June 15, 2007-December 15, 2007</w:t>
            </w:r>
          </w:p>
        </w:tc>
        <w:tc>
          <w:tcPr>
            <w:tcW w:w="3060" w:type="dxa"/>
            <w:tcBorders/>
          </w:tcPr>
          <w:p>
            <w:pPr>
              <w:pStyle w:val="Normal"/>
              <w:widowControl/>
              <w:rPr>
                <w:sz w:val="20"/>
              </w:rPr>
            </w:pPr>
            <w:r>
              <w:rPr>
                <w:sz w:val="20"/>
              </w:rPr>
              <w:t>USD 31,560,480.00</w:t>
            </w:r>
          </w:p>
        </w:tc>
        <w:tc>
          <w:tcPr>
            <w:tcW w:w="2790" w:type="dxa"/>
            <w:tcBorders/>
          </w:tcPr>
          <w:p>
            <w:pPr>
              <w:pStyle w:val="Normal"/>
              <w:widowControl/>
              <w:ind w:start="-108" w:end="0"/>
              <w:rPr>
                <w:sz w:val="20"/>
              </w:rPr>
            </w:pPr>
            <w:r>
              <w:rPr>
                <w:sz w:val="20"/>
              </w:rPr>
              <w:t>GBP 19,530,000.00</w:t>
            </w:r>
          </w:p>
        </w:tc>
      </w:tr>
      <w:tr>
        <w:trPr/>
        <w:tc>
          <w:tcPr>
            <w:tcW w:w="3348" w:type="dxa"/>
            <w:tcBorders/>
          </w:tcPr>
          <w:p>
            <w:pPr>
              <w:pStyle w:val="Normal"/>
              <w:widowControl/>
              <w:rPr>
                <w:sz w:val="20"/>
              </w:rPr>
            </w:pPr>
            <w:r>
              <w:rPr>
                <w:sz w:val="20"/>
              </w:rPr>
              <w:t>December 15, 2007-June 15, 2008</w:t>
            </w:r>
          </w:p>
        </w:tc>
        <w:tc>
          <w:tcPr>
            <w:tcW w:w="3060" w:type="dxa"/>
            <w:tcBorders/>
          </w:tcPr>
          <w:p>
            <w:pPr>
              <w:pStyle w:val="Normal"/>
              <w:widowControl/>
              <w:rPr>
                <w:sz w:val="20"/>
              </w:rPr>
            </w:pPr>
            <w:r>
              <w:rPr>
                <w:sz w:val="20"/>
              </w:rPr>
              <w:t>USD 23,415,840.00</w:t>
            </w:r>
          </w:p>
        </w:tc>
        <w:tc>
          <w:tcPr>
            <w:tcW w:w="2790" w:type="dxa"/>
            <w:tcBorders/>
          </w:tcPr>
          <w:p>
            <w:pPr>
              <w:pStyle w:val="Normal"/>
              <w:widowControl/>
              <w:ind w:start="-108" w:end="0"/>
              <w:rPr>
                <w:sz w:val="20"/>
              </w:rPr>
            </w:pPr>
            <w:r>
              <w:rPr>
                <w:sz w:val="20"/>
              </w:rPr>
              <w:t>GBP 14,490,000.00</w:t>
            </w:r>
          </w:p>
        </w:tc>
      </w:tr>
    </w:tbl>
    <w:p>
      <w:pPr>
        <w:sectPr>
          <w:headerReference w:type="default" r:id="rId3"/>
          <w:footerReference w:type="default" r:id="rId4"/>
          <w:type w:val="nextPage"/>
          <w:pgSz w:w="12240" w:h="15840"/>
          <w:pgMar w:left="1440" w:right="1440" w:gutter="0" w:header="720" w:top="1440" w:footer="720" w:bottom="1440"/>
          <w:pgNumType w:start="1" w:fmt="decimal"/>
          <w:formProt w:val="false"/>
          <w:textDirection w:val="lrTb"/>
          <w:docGrid w:type="default" w:linePitch="360" w:charSpace="0"/>
        </w:sectPr>
      </w:pPr>
    </w:p>
    <w:p>
      <w:pPr>
        <w:pStyle w:val="Normal"/>
        <w:keepNext w:val="true"/>
        <w:spacing w:lineRule="exact" w:line="240"/>
        <w:jc w:val="center"/>
        <w:rPr>
          <w:b/>
          <w:sz w:val="20"/>
        </w:rPr>
      </w:pPr>
      <w:r>
        <w:rPr>
          <w:b/>
          <w:sz w:val="20"/>
        </w:rPr>
        <w:t>ANNEX A</w:t>
      </w:r>
    </w:p>
    <w:p>
      <w:pPr>
        <w:pStyle w:val="Normal"/>
        <w:keepNext w:val="true"/>
        <w:spacing w:lineRule="exact" w:line="240"/>
        <w:jc w:val="center"/>
        <w:rPr>
          <w:b/>
          <w:sz w:val="20"/>
        </w:rPr>
      </w:pPr>
      <w:r>
        <w:rPr>
          <w:b/>
          <w:sz w:val="20"/>
        </w:rPr>
      </w:r>
    </w:p>
    <w:p>
      <w:pPr>
        <w:pStyle w:val="Normal"/>
        <w:keepNext w:val="true"/>
        <w:spacing w:lineRule="exact" w:line="240"/>
        <w:jc w:val="center"/>
        <w:rPr>
          <w:b/>
          <w:sz w:val="20"/>
        </w:rPr>
      </w:pPr>
      <w:r>
        <w:rPr>
          <w:b/>
          <w:sz w:val="20"/>
        </w:rPr>
        <w:t>U.S. WITHHOLDING TAX</w:t>
      </w:r>
    </w:p>
    <w:p>
      <w:pPr>
        <w:pStyle w:val="Normal"/>
        <w:keepNext w:val="true"/>
        <w:spacing w:lineRule="exact" w:line="240"/>
        <w:jc w:val="center"/>
        <w:rPr>
          <w:b/>
          <w:sz w:val="20"/>
        </w:rPr>
      </w:pPr>
      <w:r>
        <w:rPr>
          <w:b/>
          <w:sz w:val="20"/>
        </w:rPr>
      </w:r>
    </w:p>
    <w:p>
      <w:pPr>
        <w:pStyle w:val="Normal"/>
        <w:keepNext w:val="true"/>
        <w:jc w:val="center"/>
        <w:rPr>
          <w:b/>
          <w:sz w:val="20"/>
        </w:rPr>
      </w:pPr>
      <w:r>
        <w:rPr>
          <w:b/>
          <w:sz w:val="20"/>
        </w:rPr>
        <w:t>Party A: Risk Management &amp;Trading Corp.</w:t>
      </w:r>
    </w:p>
    <w:p>
      <w:pPr>
        <w:pStyle w:val="Normal"/>
        <w:keepNext w:val="true"/>
        <w:jc w:val="center"/>
        <w:rPr>
          <w:b/>
          <w:sz w:val="20"/>
        </w:rPr>
      </w:pPr>
      <w:r>
        <w:rPr>
          <w:b/>
          <w:sz w:val="20"/>
        </w:rPr>
        <w:t>Party B: Foreign Counterparty That is (i) Resident in a</w:t>
      </w:r>
    </w:p>
    <w:p>
      <w:pPr>
        <w:pStyle w:val="Normal"/>
        <w:keepNext w:val="true"/>
        <w:jc w:val="center"/>
        <w:rPr>
          <w:b/>
          <w:sz w:val="20"/>
        </w:rPr>
      </w:pPr>
      <w:r>
        <w:rPr>
          <w:b/>
          <w:sz w:val="20"/>
        </w:rPr>
        <w:t>Treaty Jurisdiction and (ii) Acting Exclusively</w:t>
      </w:r>
    </w:p>
    <w:p>
      <w:pPr>
        <w:pStyle w:val="Normal"/>
        <w:keepNext w:val="true"/>
        <w:jc w:val="center"/>
        <w:rPr>
          <w:b/>
          <w:sz w:val="20"/>
        </w:rPr>
      </w:pPr>
      <w:r>
        <w:rPr>
          <w:b/>
          <w:sz w:val="20"/>
        </w:rPr>
        <w:t>Through Non-U.S. Branches or Offices</w:t>
      </w:r>
    </w:p>
    <w:p>
      <w:pPr>
        <w:pStyle w:val="Normal"/>
        <w:keepNext w:val="true"/>
        <w:jc w:val="center"/>
        <w:rPr>
          <w:b/>
          <w:sz w:val="20"/>
        </w:rPr>
      </w:pPr>
      <w:r>
        <w:rPr>
          <w:b/>
          <w:sz w:val="20"/>
        </w:rPr>
      </w:r>
    </w:p>
    <w:p>
      <w:pPr>
        <w:pStyle w:val="Normal"/>
        <w:tabs>
          <w:tab w:val="left" w:pos="720" w:leader="none"/>
          <w:tab w:val="left" w:pos="1170" w:leader="none"/>
        </w:tabs>
        <w:spacing w:lineRule="exact" w:line="480"/>
        <w:jc w:val="both"/>
        <w:rPr>
          <w:b/>
          <w:sz w:val="20"/>
        </w:rPr>
      </w:pPr>
      <w:r>
        <w:rPr>
          <w:b/>
          <w:sz w:val="20"/>
        </w:rPr>
        <w:t>I.</w:t>
        <w:tab/>
        <w:t>Tax Representations.</w:t>
      </w:r>
    </w:p>
    <w:p>
      <w:pPr>
        <w:pStyle w:val="Normal"/>
        <w:spacing w:lineRule="exact" w:line="240" w:before="240" w:after="0"/>
        <w:ind w:hanging="720" w:start="720" w:end="0"/>
        <w:jc w:val="both"/>
        <w:rPr/>
      </w:pPr>
      <w:r>
        <w:rPr>
          <w:b/>
          <w:sz w:val="20"/>
        </w:rPr>
        <w:t>(a)</w:t>
        <w:tab/>
        <w:t xml:space="preserve">Payer Representations.  </w:t>
      </w:r>
      <w:r>
        <w:rPr>
          <w:sz w:val="20"/>
        </w:rPr>
        <w:t>For the purpose of Section 3(e), Party A and Party B make the following representation:</w:t>
      </w:r>
    </w:p>
    <w:p>
      <w:pPr>
        <w:pStyle w:val="Normal"/>
        <w:spacing w:lineRule="exact" w:line="240" w:before="240" w:after="0"/>
        <w:ind w:start="720" w:end="0"/>
        <w:jc w:val="both"/>
        <w:rPr/>
      </w:pPr>
      <w:r>
        <w:rPr>
          <w:sz w:val="20"/>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0"/>
        </w:rPr>
        <w:t>provided</w:t>
      </w:r>
      <w:r>
        <w:rPr>
          <w:sz w:val="20"/>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0"/>
        </w:rPr>
        <w:t>(b)</w:t>
        <w:tab/>
        <w:t>Payee Representations.</w:t>
      </w:r>
      <w:r>
        <w:rPr>
          <w:sz w:val="20"/>
        </w:rPr>
        <w:t xml:space="preserve">  For the purpose of Section 3(f), Party A and Party B make the following representation:</w:t>
      </w:r>
    </w:p>
    <w:p>
      <w:pPr>
        <w:pStyle w:val="Normal"/>
        <w:spacing w:lineRule="exact" w:line="240" w:before="240" w:after="0"/>
        <w:ind w:start="720" w:end="0"/>
        <w:jc w:val="both"/>
        <w:rPr>
          <w:sz w:val="20"/>
        </w:rPr>
      </w:pPr>
      <w:r>
        <w:rPr>
          <w:sz w:val="20"/>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sz w:val="20"/>
        </w:rPr>
        <w:t>"</w:t>
      </w:r>
      <w:r>
        <w:rPr>
          <w:b/>
          <w:sz w:val="20"/>
        </w:rPr>
        <w:t>Specified Treaty</w:t>
      </w:r>
      <w:r>
        <w:rPr>
          <w:sz w:val="20"/>
        </w:rPr>
        <w:t>" means the income tax treaty between the United States and England.</w:t>
      </w:r>
    </w:p>
    <w:p>
      <w:pPr>
        <w:pStyle w:val="Normal"/>
        <w:spacing w:lineRule="exact" w:line="240" w:before="240" w:after="0"/>
        <w:jc w:val="both"/>
        <w:rPr/>
      </w:pPr>
      <w:r>
        <w:rPr>
          <w:sz w:val="20"/>
        </w:rPr>
        <w:t>"</w:t>
      </w:r>
      <w:r>
        <w:rPr>
          <w:b/>
          <w:sz w:val="20"/>
        </w:rPr>
        <w:t>Specified Jurisdiction</w:t>
      </w:r>
      <w:r>
        <w:rPr>
          <w:sz w:val="20"/>
        </w:rPr>
        <w:t>" means, with respect to Party A, England.</w:t>
      </w:r>
    </w:p>
    <w:p>
      <w:pPr>
        <w:pStyle w:val="Normal"/>
        <w:spacing w:lineRule="exact" w:line="240" w:before="240" w:after="0"/>
        <w:jc w:val="both"/>
        <w:rPr/>
      </w:pPr>
      <w:r>
        <w:rPr>
          <w:sz w:val="20"/>
        </w:rPr>
        <w:t>"</w:t>
      </w:r>
      <w:r>
        <w:rPr>
          <w:b/>
          <w:sz w:val="20"/>
        </w:rPr>
        <w:t>Specified Jurisdiction</w:t>
      </w:r>
      <w:r>
        <w:rPr>
          <w:sz w:val="20"/>
        </w:rPr>
        <w:t>" means, with respect to Party B, the United States.</w:t>
      </w:r>
    </w:p>
    <w:p>
      <w:pPr>
        <w:pStyle w:val="Normal"/>
        <w:spacing w:lineRule="exact" w:line="480"/>
        <w:jc w:val="both"/>
        <w:rPr>
          <w:b/>
          <w:sz w:val="20"/>
        </w:rPr>
      </w:pPr>
      <w:r>
        <w:rPr>
          <w:b/>
          <w:sz w:val="20"/>
        </w:rPr>
        <w:t>II.</w:t>
        <w:tab/>
        <w:t>Agreement to Deliver Documents.</w:t>
      </w:r>
    </w:p>
    <w:p>
      <w:pPr>
        <w:pStyle w:val="Normal"/>
        <w:spacing w:lineRule="exact" w:line="240" w:before="240" w:after="0"/>
        <w:jc w:val="both"/>
        <w:rPr>
          <w:sz w:val="20"/>
        </w:rPr>
      </w:pPr>
      <w:r>
        <w:rPr>
          <w:sz w:val="20"/>
        </w:rPr>
        <w:t>For the purpose of Section 4(a), the Tax forms, documents, or certificates to be delivered are:  none.</w:t>
      </w:r>
    </w:p>
    <w:p>
      <w:pPr>
        <w:pStyle w:val="Normal"/>
        <w:spacing w:lineRule="exact" w:line="240"/>
        <w:jc w:val="both"/>
        <w:rPr>
          <w:b/>
          <w:sz w:val="20"/>
        </w:rPr>
      </w:pPr>
      <w:r>
        <w:rPr>
          <w:b/>
          <w:sz w:val="20"/>
        </w:rPr>
      </w:r>
    </w:p>
    <w:p>
      <w:pPr>
        <w:pStyle w:val="Normal"/>
        <w:spacing w:lineRule="exact" w:line="240"/>
        <w:jc w:val="both"/>
        <w:rPr/>
      </w:pPr>
      <w:r>
        <w:rPr>
          <w:b/>
          <w:sz w:val="20"/>
        </w:rPr>
        <w:t>III.</w:t>
        <w:tab/>
        <w:t xml:space="preserve">Definitions. </w:t>
      </w:r>
      <w:r>
        <w:rPr>
          <w:sz w:val="20"/>
        </w:rPr>
        <w:t xml:space="preserve">  Capitalized terms not otherwise defined in this Annex A shall have the meaning set forth in the Confirmation or the ISDA Agreement.</w:t>
      </w:r>
    </w:p>
    <w:p>
      <w:pPr>
        <w:pStyle w:val="Normal"/>
        <w:widowControl/>
        <w:rPr>
          <w:sz w:val="20"/>
        </w:rPr>
      </w:pPr>
      <w:r>
        <w:rPr>
          <w:sz w:val="20"/>
        </w:rPr>
      </w:r>
    </w:p>
    <w:sectPr>
      <w:headerReference w:type="default" r:id="rId5"/>
      <w:headerReference w:type="first" r:id="rId6"/>
      <w:footerReference w:type="default" r:id="rId7"/>
      <w:footerReference w:type="first" r:id="rId8"/>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numFmt w:val="decimal"/>
      <w:lvlText w:val="%1."/>
      <w:lvlJc w:val="start"/>
      <w:pPr>
        <w:tabs>
          <w:tab w:val="num" w:pos="645"/>
        </w:tabs>
        <w:ind w:start="645" w:hanging="645"/>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z w:val="22"/>
    </w:rPr>
  </w:style>
  <w:style w:type="paragraph" w:styleId="List">
    <w:name w:val="List"/>
    <w:basedOn w:val="BodyText"/>
    <w:pPr/>
    <w:rPr>
      <w:rFonts w:cs="NotoSans NF"/>
    </w:rPr>
  </w:style>
  <w:style w:type="paragraph" w:styleId="Caption">
    <w:name w:val="caption"/>
    <w:basedOn w:val="Normal"/>
    <w:next w:val="Normal"/>
    <w:qFormat/>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z w:val="20"/>
    </w:rPr>
  </w:style>
  <w:style w:type="paragraph" w:styleId="BodyText2">
    <w:name w:val="Body Text 2"/>
    <w:basedOn w:val="Normal"/>
    <w:qFormat/>
    <w:pPr>
      <w:widowControl/>
      <w:jc w:val="both"/>
    </w:pPr>
    <w:rPr>
      <w:sz w:val="22"/>
    </w:rPr>
  </w:style>
  <w:style w:type="paragraph" w:styleId="BodyText3">
    <w:name w:val="Body Text 3"/>
    <w:basedOn w:val="Normal"/>
    <w:qFormat/>
    <w:pPr>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1999-04-30T16:23:00Z</dcterms:created>
  <dc:creator>ECT</dc:creator>
  <dc:description/>
  <dc:language>en-CA</dc:language>
  <cp:lastModifiedBy>tjones</cp:lastModifiedBy>
  <cp:lastPrinted>1999-04-30T14:00:00Z</cp:lastPrinted>
  <dcterms:modified xsi:type="dcterms:W3CDTF">1999-04-30T18:36:00Z</dcterms:modified>
  <cp:revision>5</cp:revision>
  <dc:subject/>
  <dc:title> 1400 Smith  Houston, TX 77002 (713) 853-3300 Fax (713) 646-4816</dc:title>
</cp:coreProperties>
</file>