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end"/>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end"/>
        <w:rPr>
          <w:b/>
          <w:sz w:val="28"/>
        </w:rPr>
      </w:pPr>
      <w:r>
        <w:rPr>
          <w:b/>
          <w:sz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8"/>
        </w:rPr>
      </w:pPr>
      <w:r>
        <w:rPr>
          <w:b/>
          <w:sz w:val="28"/>
        </w:rPr>
        <w:t>NATURAL GAS SALES AND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 xml:space="preserve">Agreement dated this ___________________________between _______________________ (Marketer) and the </w:t>
      </w:r>
      <w:r>
        <w:rPr>
          <w:b/>
          <w:bCs/>
        </w:rPr>
        <w:t>Pactiv Corporation</w:t>
      </w:r>
      <w:r>
        <w:rPr/>
        <w:t xml:space="preserve"> (Customer) facility located at: 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1440" w:end="0"/>
        <w:rPr/>
      </w:pPr>
      <w:r>
        <w:rPr>
          <w:u w:val="single"/>
        </w:rPr>
        <w:t xml:space="preserve">                                                   </w:t>
      </w:r>
      <w:r>
        <w:rPr/>
        <w:tab/>
        <w:tab/>
      </w:r>
      <w:r>
        <w:rPr>
          <w:u w:val="single"/>
        </w:rPr>
        <w:t xml:space="preserve">                                                         </w:t>
      </w:r>
      <w:r>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1440" w:end="0"/>
        <w:rPr/>
      </w:pPr>
      <w:r>
        <w:rPr>
          <w:u w:val="single"/>
        </w:rPr>
        <w:t xml:space="preserve">                                                   </w:t>
      </w:r>
      <w:r>
        <w:rPr/>
        <w:tab/>
        <w:tab/>
      </w:r>
      <w:r>
        <w:rPr>
          <w:u w:val="single"/>
        </w:rPr>
        <w:t xml:space="preserve">                                                         </w:t>
      </w:r>
      <w:r>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1440" w:end="0"/>
        <w:rPr/>
      </w:pPr>
      <w:r>
        <w:rPr>
          <w:u w:val="single"/>
        </w:rPr>
        <w:t xml:space="preserve">                                                   </w:t>
      </w:r>
      <w:r>
        <w:rPr/>
        <w:tab/>
        <w:tab/>
      </w:r>
      <w:r>
        <w:rPr>
          <w:u w:val="single"/>
        </w:rPr>
        <w:t xml:space="preserve">                                                         </w:t>
      </w:r>
      <w:r>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1440" w:end="0"/>
        <w:rPr/>
      </w:pPr>
      <w:r>
        <w:rPr>
          <w:u w:val="single"/>
        </w:rPr>
        <w:t xml:space="preserve">                                                   </w:t>
      </w:r>
      <w:r>
        <w:rPr/>
        <w:tab/>
        <w:tab/>
      </w:r>
      <w:r>
        <w:rPr>
          <w:u w:val="single"/>
        </w:rPr>
        <w:t xml:space="preserve">                                                         </w:t>
      </w:r>
      <w:r>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144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t>WHEREAS, Marketer has pipeline quality gas supplies available for sale and Customer desires to purchase for the benefit of Customer, and its parents, affiliates, subsidiaries and commonly controlled entities (Customer Group), firm quantities of gas subject to the following terms and conditions;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t>NOW, therefore, Marketer agrees to sell and Customer agrees to purchase certain quantities of gas, subject to terms and conditions set forth in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b/>
        </w:rPr>
        <w:t>LOCAL DISTRIBUTION COMPANY</w:t>
      </w:r>
      <w:r>
        <w:fldChar w:fldCharType="begin"/>
      </w:r>
      <w:r>
        <w:rPr/>
        <w:instrText xml:space="preserve"> TC "LOCAL DISTRIBUTION COMPANY"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t>_____________________will be the local distribution company (LDC).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b/>
        </w:rPr>
        <w:t>DELIVERY POINT</w:t>
      </w:r>
      <w:r>
        <w:fldChar w:fldCharType="begin"/>
      </w:r>
      <w:r>
        <w:rPr/>
        <w:instrText xml:space="preserve"> TC "DELIVERY POINT"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t>The Delivery Point will be any suitable metered interconnect into the LDC system as specifically designated on the Term Sheet.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b/>
        </w:rPr>
        <w:t>TITLE</w:t>
      </w:r>
      <w:r>
        <w:fldChar w:fldCharType="begin"/>
      </w:r>
      <w:r>
        <w:rPr/>
        <w:instrText xml:space="preserve"> TC "TITLE"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t>Title to the gas will pass from Marketer to Customer at the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b/>
        </w:rPr>
        <w:t>TERM</w:t>
      </w:r>
      <w:r>
        <w:fldChar w:fldCharType="begin"/>
      </w:r>
      <w:r>
        <w:rPr/>
        <w:instrText xml:space="preserve"> TC "TERM"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t>This Agreement will become effective on the date specified above and will continue for a period of twelve (12) months from the date of commencement of gas deliveries by Marketer, and will continue automatically for periods of thirty (30) days thereafter, unless terminated by either party by giving written notice to the other no less than thirty (30) days prior to the end of the applicable term.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r>
        <w:br w:type="page"/>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b/>
        </w:rPr>
        <w:t>WARRANTY OF TITLE</w:t>
      </w:r>
      <w:r>
        <w:fldChar w:fldCharType="begin"/>
      </w:r>
      <w:r>
        <w:rPr/>
        <w:instrText xml:space="preserve"> TC "WARRANTY OF TITLE"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t>Marketer warrants title to all gas delivered hereunder or the contractual right to sell the same without lien or encumbrance.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b/>
        </w:rPr>
        <w:t>PRICE</w:t>
      </w:r>
      <w:r>
        <w:fldChar w:fldCharType="begin"/>
      </w:r>
      <w:r>
        <w:rPr/>
        <w:instrText xml:space="preserve"> TC "PRICE"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t>The price for all gas delivered hereunder shall be designated on the Term Sheet and shall be inclusive of all charges and costs (including, but not limited to fuel, shrinkage and lost and unaccounted for fuel and pipeline transportation charges) required for delivery at the Delivery Point, unless otherwise indicated on the Term Sheet.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t>Marketer agrees that Customer may at any time during the term of this Agreement convert an indexed price for gas volumes purchased under this Agreement from such index price, to a fixed price based upon the NYMEX Natural Gas Futures market price strip.  Marketer will negotiate in good faith a mutually agreed upon duration, volume and price based upon the NYMEX Natural Gas Futures market price strip.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b/>
        </w:rPr>
        <w:t>QUANTITY</w:t>
      </w:r>
      <w:r>
        <w:fldChar w:fldCharType="begin"/>
      </w:r>
      <w:r>
        <w:rPr/>
        <w:instrText xml:space="preserve"> TC "QUANTITY"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t>Marketer will deliver or cause to be delivered, on the highest priority firm basis, all of Customer’s daily natural gas requirements to Customer’s plant location for the term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b/>
        </w:rPr>
        <w:t>QUALITY</w:t>
      </w:r>
      <w:r>
        <w:fldChar w:fldCharType="begin"/>
      </w:r>
      <w:r>
        <w:rPr/>
        <w:instrText xml:space="preserve"> TC "QUALITY"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t>Marketer will deliver gas that conforms to the LDC’s tariff quality standards.  Any gas which does not meet LDC tariff standards shall be considered non-conforming and Customer shall have no obligation to purchase any such non-conforming gas.  Further, Customer shall have no obligation to monitor the quality of gas delivered at the Delivery Point and shall be entitled to rely solely on Marketer and LDC to do so.  Marketer shall indemnify Customer against any claims and damages, including, but not limited to, attorney fees, related to delivery of non-conforming gas under this Agreement, regardless of which party has title.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b/>
        </w:rPr>
        <w:t>NATURE OF SERVICE</w:t>
      </w:r>
      <w:r>
        <w:fldChar w:fldCharType="begin"/>
      </w:r>
      <w:r>
        <w:rPr/>
        <w:instrText xml:space="preserve"> TC "NATURE OF SERVICE"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t>Marketer will make gas supply and gas transportation nominations and schedule deliveries on behalf of Customer based on the Customer’s load profile and Marketer’s expertise on daily balancing and normal load fluctuations.  Marketer will comply with all LDC tariff requirements and policies, and will be responsible for the maintenance and administration of Customer’s LDC transportation and storage contracts on Customer’s behalf</w:t>
      </w:r>
      <w:r>
        <w:rPr>
          <w:color w:val="FF0000"/>
        </w:rPr>
        <w:t>.</w:t>
      </w:r>
      <w:r>
        <w:rPr>
          <w:color w:val="000000"/>
        </w:rPr>
        <w:t xml:space="preserve">  Customer’s sole obligation with respect to daily scheduling and nominations will be to notify the marketer as soon as possible of any significant operational changes at Customer’s plant (for example: scheduled plant shutdowns, additions of new gas fired equipment or change in weekly work activity).</w:t>
      </w:r>
      <w:r>
        <w:br w:type="page"/>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b/>
          <w:color w:val="000000"/>
        </w:rPr>
        <w:t>BILLING</w:t>
      </w:r>
      <w:r>
        <w:fldChar w:fldCharType="begin"/>
      </w:r>
      <w:r>
        <w:rPr/>
        <w:instrText xml:space="preserve"> TC "BILLING"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rPr>
      </w:pPr>
      <w:r>
        <w:rPr>
          <w:color w:val="000000"/>
        </w:rPr>
        <w:t>Marketer will invoice Customer each month only for the actual quantity of gas used by Customer according to the LDC billing statement for Customer’s billing period.  Customer will be responsible for all LDC transportation and storage charges.  Marketer will be solely responsible for all charges from LDC related to Marketer’s failure to properly nominate and schedule service at the Customers meter, including but not limited to, the cost of LDC standby or replacement service, scheduling and imbalance penalties and charges, except to the extent caused by Customer’s failure to notify Marketer of a significant operational change as required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rPr>
      </w:pPr>
      <w:r>
        <w:rPr>
          <w:color w:val="000000"/>
        </w:rPr>
        <w:t>Any amounts due Customer from Marketer shall be credited on Marketer’s next invoice or paid directly to Customer within twenty (20) days.  Customer will pay all undisputed, invoiced amounts within twenty (20) days of the invoice date.  Any amount remaining unpaid thereafter by either party will be considered past due and will accrue late payment charges at the rate of 1.5% per month or part thereof until paid in full.  The defaulting party agrees to pay all collection costs, including reasonable attorney’s fees and court costs, incurred by the non-defaulting party in collecting such past due amounts.  The non-defaulting party, in addition to other remedies available, may suspend performance until all past due amounts, late payment charges, and collection costs are paid.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tab/>
        <w:t>All statements, billings and payments shall be subject to correction of any errors contained therein for a period of two (2) years following their respective date of origin.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rPr>
      </w:pPr>
      <w:r>
        <w:rPr>
          <w:color w:val="000000"/>
        </w:rPr>
        <w:t>Notwithstanding any other provision of this Agreement, Customer agrees that it will not purchase gas for the indicated facility from any other supplier, except LDC under the applicable tariff rate for gas service, unless Marketer defaults and until Customer has made payment in full to Marketer for all undisputed invoiced amounts for gas quantities delivered by Marketer.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b/>
          <w:color w:val="000000"/>
        </w:rPr>
        <w:t>NOTICES</w:t>
      </w:r>
      <w:r>
        <w:fldChar w:fldCharType="begin"/>
      </w:r>
      <w:r>
        <w:rPr/>
        <w:instrText xml:space="preserve"> TC "NOTICES" \l 2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rPr>
      </w:pPr>
      <w:r>
        <w:rPr>
          <w:color w:val="000000"/>
        </w:rPr>
        <w:t>All notices and other communications will be addressed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1440" w:end="0"/>
        <w:rPr>
          <w:color w:val="000000"/>
        </w:rPr>
      </w:pPr>
      <w:r>
        <w:rPr>
          <w:color w:val="000000"/>
        </w:rPr>
        <w:t>Marketer:</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color w:val="000000"/>
        </w:rPr>
      </w:pPr>
      <w:r>
        <w:rPr>
          <w:color w:val="000000"/>
        </w:rPr>
      </w:r>
    </w:p>
    <w:p>
      <w:pPr>
        <w:pStyle w:val="Normal"/>
        <w:tabs>
          <w:tab w:val="clear" w:pos="720"/>
          <w:tab w:val="left" w:pos="0" w:leader="none"/>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tab/>
        <w:t>Primary:</w:t>
        <w:tab/>
        <w:t>Henri M. Weil, Director, Resin Procurement</w:t>
      </w:r>
    </w:p>
    <w:p>
      <w:pPr>
        <w:pStyle w:val="Normal"/>
        <w:tabs>
          <w:tab w:val="clear" w:pos="720"/>
          <w:tab w:val="left" w:pos="0" w:leader="none"/>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tab/>
        <w:t xml:space="preserve">                        </w:t>
        <w:tab/>
        <w:t>Pactiv Corporation</w:t>
      </w:r>
    </w:p>
    <w:p>
      <w:pPr>
        <w:pStyle w:val="Normal"/>
        <w:tabs>
          <w:tab w:val="clear" w:pos="720"/>
          <w:tab w:val="left" w:pos="0" w:leader="none"/>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tab/>
        <w:t xml:space="preserve">                        </w:t>
        <w:tab/>
        <w:t>1900 West Field Court</w:t>
      </w:r>
    </w:p>
    <w:p>
      <w:pPr>
        <w:pStyle w:val="Normal"/>
        <w:tabs>
          <w:tab w:val="clear" w:pos="720"/>
          <w:tab w:val="left" w:pos="0" w:leader="none"/>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tab/>
        <w:t xml:space="preserve">                        </w:t>
        <w:tab/>
        <w:t>Lake Forest, IL 60045</w:t>
      </w:r>
    </w:p>
    <w:p>
      <w:pPr>
        <w:pStyle w:val="Normal"/>
        <w:tabs>
          <w:tab w:val="clear" w:pos="720"/>
          <w:tab w:val="left" w:pos="0" w:leader="none"/>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tab/>
        <w:t xml:space="preserve">                        </w:t>
        <w:tab/>
        <w:t>Telephone:  (847) 482-2792</w:t>
        <w:tab/>
        <w:t>Fax:  (847) 482-4514</w:t>
        <w:tab/>
        <w:tab/>
      </w:r>
    </w:p>
    <w:p>
      <w:pPr>
        <w:pStyle w:val="Normal"/>
        <w:tabs>
          <w:tab w:val="clear" w:pos="720"/>
          <w:tab w:val="left" w:pos="0" w:leader="none"/>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tab/>
      </w:r>
    </w:p>
    <w:p>
      <w:pPr>
        <w:pStyle w:val="Normal"/>
        <w:tabs>
          <w:tab w:val="clear" w:pos="720"/>
          <w:tab w:val="left" w:pos="0" w:leader="none"/>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tab/>
        <w:t>Plant:</w:t>
        <w:tab/>
      </w:r>
    </w:p>
    <w:p>
      <w:pPr>
        <w:pStyle w:val="Normal"/>
        <w:tabs>
          <w:tab w:val="clear" w:pos="720"/>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rPr>
      </w:pPr>
      <w:r>
        <w:rPr>
          <w:b/>
          <w:color w:val="000000"/>
        </w:rPr>
      </w:r>
    </w:p>
    <w:p>
      <w:pPr>
        <w:pStyle w:val="Normal"/>
        <w:tabs>
          <w:tab w:val="clear" w:pos="720"/>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rPr>
      </w:pPr>
      <w:r>
        <w:rPr>
          <w:b/>
          <w:color w:val="000000"/>
        </w:rPr>
      </w:r>
    </w:p>
    <w:p>
      <w:pPr>
        <w:pStyle w:val="Normal"/>
        <w:tabs>
          <w:tab w:val="clear" w:pos="720"/>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rPr>
      </w:pPr>
      <w:r>
        <w:rPr>
          <w:b/>
          <w:color w:val="000000"/>
        </w:rPr>
      </w:r>
    </w:p>
    <w:p>
      <w:pPr>
        <w:pStyle w:val="Normal"/>
        <w:tabs>
          <w:tab w:val="clear" w:pos="720"/>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rPr>
      </w:pPr>
      <w:r>
        <w:rPr>
          <w:b/>
          <w:color w:val="000000"/>
        </w:rPr>
      </w:r>
    </w:p>
    <w:p>
      <w:pPr>
        <w:pStyle w:val="Normal"/>
        <w:tabs>
          <w:tab w:val="clear" w:pos="720"/>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rPr>
      </w:pPr>
      <w:r>
        <w:rPr>
          <w:b/>
          <w:color w:val="000000"/>
        </w:rPr>
      </w:r>
    </w:p>
    <w:p>
      <w:pPr>
        <w:pStyle w:val="Normal"/>
        <w:tabs>
          <w:tab w:val="clear" w:pos="720"/>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rPr>
      </w:pPr>
      <w:r>
        <w:rPr>
          <w:b/>
          <w:color w:val="000000"/>
        </w:rPr>
      </w:r>
    </w:p>
    <w:p>
      <w:pPr>
        <w:pStyle w:val="Normal"/>
        <w:tabs>
          <w:tab w:val="clear" w:pos="720"/>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b/>
          <w:color w:val="000000"/>
        </w:rPr>
        <w:t>LIABILITY AS BETWEEN CUSTOMER AND MARKETER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rPr>
      </w:pPr>
      <w:r>
        <w:rPr>
          <w:color w:val="000000"/>
        </w:rPr>
        <w:t>Marketer will assume full responsibility for any damages or losses incurred relating to the delivery of the gas prior to its delivery to the Delivery Point and will indemnify Customer against all liabilities arising therefrom.  Except to the extent caused by Marketer acting in its capacity as Customer’s agent, Customer will assume full responsibility for any damages or losses incurred relating to the delivery of the gas after its delivery to the Delivery Point and will indemnify Marketer against all liabilities arising therefrom.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b/>
          <w:color w:val="000000"/>
        </w:rPr>
        <w:t>FORCE MAJEURE</w:t>
      </w:r>
      <w:r>
        <w:fldChar w:fldCharType="begin"/>
      </w:r>
      <w:r>
        <w:rPr/>
        <w:instrText xml:space="preserve"> TC "FORCE MAJEURE"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color w:val="000000"/>
        </w:rPr>
        <w:t xml:space="preserve">Neither party hereto shall be liable for any failure of performance due to causes beyond its reasonable control, the occurrence of which could not have been prevented by the exercise of due diligence, such as Acts of God, acts of the other party, acts of civil or military authority, fires, strikes, floods, epidemics, wars riots, well freeze-ups, mechanical failures, or changes in laws, regulations, or tariffs mandated or approved by federal, state or other governmental or regulatory entities.  Provided, however, that neither party shall be relieved of any of its obligations hereunder solely by reason of that party’s financial inability to perform.  Under this Agreement, </w:t>
      </w:r>
      <w:r>
        <w:rPr>
          <w:i/>
          <w:color w:val="000000"/>
        </w:rPr>
        <w:t xml:space="preserve">force majeure </w:t>
      </w:r>
      <w:r>
        <w:rPr>
          <w:color w:val="000000"/>
        </w:rPr>
        <w:t>shall not, in any circumstances, include any upstream transporter’s refusal to accept, transport, and redeliver gas to the Delivery Point for Marketer under an interruptible or other transportation service of inferior quality to the highest quality firm primary service offered by each applicable transporter.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b/>
          <w:color w:val="000000"/>
        </w:rPr>
        <w:t>REMEDIES</w:t>
      </w:r>
      <w:r>
        <w:fldChar w:fldCharType="begin"/>
      </w:r>
      <w:r>
        <w:rPr/>
        <w:instrText xml:space="preserve"> TC "REMEDIES"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color w:val="000000"/>
        </w:rPr>
        <w:t xml:space="preserve">For any failure to deliver Customer’s requirements which is not excused by </w:t>
      </w:r>
      <w:r>
        <w:rPr>
          <w:i/>
          <w:color w:val="000000"/>
        </w:rPr>
        <w:t xml:space="preserve">force majeure, </w:t>
      </w:r>
      <w:r>
        <w:rPr>
          <w:color w:val="000000"/>
        </w:rPr>
        <w:t>Marketer will be liable for the full costs of cover incurred by Customer including, but not limited to, the cost of replacement service from LDC plus any scheduling and imbalance charges or penalties.  Neither party shall be responsible to the other for any consequential or punitive damages resulting from failure to perform, regardless of the theory of liability.  Any payments to Customer under this paragraph may be made by reducing the amount due on Marketer’s invoice for the month following the failure to deliver or by direct payment within twenty (20) days of the failure to deliver.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rPr>
      </w:pPr>
      <w:r>
        <w:rPr>
          <w:color w:val="000000"/>
        </w:rPr>
        <w:t>In addition to Customer’s other remedies under this Agreement, if Marketer for any reason fails to deliver Customer’s daily requirements more than three times during the Term of the Agreement, Customer shall have the right to cancel this Agreement upon thirty (30) day’s written notice to Marketer.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b/>
          <w:color w:val="000000"/>
        </w:rPr>
        <w:t>GENERAL</w:t>
      </w:r>
      <w:r>
        <w:fldChar w:fldCharType="begin"/>
      </w:r>
      <w:r>
        <w:rPr/>
        <w:instrText xml:space="preserve"> TC "GENERAL"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rPr>
      </w:pPr>
      <w:r>
        <w:rPr>
          <w:color w:val="000000"/>
        </w:rPr>
        <w:t>Each party’s performance under this Agreement, both initially and continuing, is conditional on the other’s creditworthiness as determined solely by each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rPr>
      </w:pPr>
      <w:r>
        <w:rPr>
          <w:color w:val="000000"/>
        </w:rPr>
        <w:t>Except as specified otherwise herein, Marketer will pay all taxes, assessments, gas transportation and storage costs and all other costs associated with the gas delivered hereunder prior to it delivery to the Delivery Point and Customer will pay all taxes, assessments, gas transportation and storage costs, and all other costs associated with the gas delivered hereunder after its delivery to the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rPr>
      </w:pPr>
      <w:r>
        <w:rPr>
          <w:color w:val="000000"/>
        </w:rPr>
        <w:t>The provisions of this Agreement are subject to all existing or future legislation, orders, rules and regulation issued by any governmental authority having jurisdiction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rPr>
      </w:pPr>
      <w:r>
        <w:rPr>
          <w:color w:val="000000"/>
        </w:rPr>
        <w:t>The pressure, measurement, definitions, and quality requirements of the LDC will be the mutually acceptable quality standards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color w:val="000000"/>
        </w:rPr>
        <w:t xml:space="preserve">This Agreement may not be assigned by either party without the prior written consent of the other.  Such consent may be withheld for any reason; </w:t>
      </w:r>
      <w:r>
        <w:rPr>
          <w:color w:val="000000"/>
          <w:u w:val="single"/>
        </w:rPr>
        <w:t>provided</w:t>
      </w:r>
      <w:r>
        <w:rPr>
          <w:color w:val="000000"/>
        </w:rPr>
        <w:t xml:space="preserve">, however, that if one or more assets or entities of the Customer Group is sold or otherwise divested, either or both of the remaining Customer Group and the successor entity that acquires such divested assets or entities may continue to acquire gas subject to the terms of this Agreement, as if no such sale or divestiture had occurred and Marketer shall not withhold its consent to, or refuse to execute, such documents or agreements as are reasonably required to evidence any such party’s continuing interest in this Agreement or its rights to acquire gas subject to the terms of this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rPr>
      </w:pPr>
      <w:r>
        <w:rPr>
          <w:color w:val="000000"/>
        </w:rPr>
        <w:t>If there is an inconsistency between the terms of this Natural Gas Sales and Purchase Agreement and any contemporaneously or subsequently executed Term Sheet, the terms of the Term Sheet shall control.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rPr>
      </w:pPr>
      <w:r>
        <w:rPr>
          <w:color w:val="000000"/>
        </w:rPr>
        <w:t>This Agreement shall be governed by and construed in accordance with the laws of the state of XXX (state??) without regard to its choice of law provisions, and the parties hereto stipulate that with respect to any and all disputes between the parties arising from or relating to this Agreement, venue shall lie in the federal or state courts of XXXX (state?).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rPr>
      </w:pPr>
      <w:r>
        <w:rPr>
          <w:color w:val="000000"/>
        </w:rPr>
        <w:t>Customer affirms that it has read this Agreement in its entirety and that it agrees to purchase gas from Marketer subject to the terms and conditions contained therein. This Agreement has been drafted by both parties and accordingly shall not be construed against either party as drafter.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rPr>
      </w:pPr>
      <w:r>
        <w:rPr>
          <w:color w:val="000000"/>
        </w:rPr>
        <w:t>IN WITNESS HEREOF, the parties have executed this Agreement as of the effective date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t xml:space="preserve">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rPr>
      </w:pPr>
      <w:r>
        <w:rPr>
          <w:b/>
          <w:color w:val="000000"/>
        </w:rPr>
        <w:t>PACTIV CORPORATION</w:t>
        <w:tab/>
        <w:tab/>
        <w:tab/>
        <w:tab/>
        <w:tab/>
        <w:t>MARKETER</w:t>
      </w:r>
      <w:r>
        <w:fldChar w:fldCharType="begin"/>
      </w:r>
      <w:r>
        <w:rPr/>
        <w:instrText xml:space="preserve"> TC "TENNECO PACKAGING, INC.</w:instrText>
        <w:tab/>
        <w:instrText xml:space="preserve"/>
        <w:tab/>
        <w:instrText xml:space="preserve"/>
        <w:tab/>
        <w:instrText xml:space="preserve"/>
        <w:tab/>
        <w:instrText xml:space="preserve"/>
        <w:tab/>
        <w:instrText xml:space="preserve">MARKETER" \l 2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rPr>
      </w:pPr>
      <w:r>
        <w:rPr>
          <w:b/>
          <w:color w:val="000000"/>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rPr>
      </w:pPr>
      <w:r>
        <w:rPr>
          <w:color w:val="000000"/>
        </w:rPr>
      </w:r>
    </w:p>
    <w:p>
      <w:pPr>
        <w:pStyle w:val="Normal"/>
        <w:tabs>
          <w:tab w:val="clear" w:pos="720"/>
          <w:tab w:val="left" w:pos="0" w:leader="none"/>
          <w:tab w:val="right" w:pos="4320" w:leader="none"/>
          <w:tab w:val="left" w:pos="5760" w:leader="none"/>
          <w:tab w:val="right" w:pos="10224" w:leader="none"/>
        </w:tabs>
        <w:rPr>
          <w:color w:val="000000"/>
          <w:u w:val="single"/>
        </w:rPr>
      </w:pPr>
      <w:r>
        <w:rPr>
          <w:b/>
          <w:color w:val="000000"/>
        </w:rPr>
        <w:t>By: _____________________________________</w:t>
      </w:r>
      <w:r>
        <w:rPr>
          <w:color w:val="000000"/>
        </w:rPr>
        <w:tab/>
      </w:r>
      <w:r>
        <w:rPr>
          <w:b/>
          <w:color w:val="000000"/>
        </w:rPr>
        <w:t>By: _________________________________</w:t>
      </w:r>
      <w:r>
        <w:rPr>
          <w:color w:val="000000"/>
        </w:rPr>
        <w:tab/>
      </w:r>
    </w:p>
    <w:p>
      <w:pPr>
        <w:pStyle w:val="Normal"/>
        <w:tabs>
          <w:tab w:val="clear" w:pos="720"/>
          <w:tab w:val="left" w:pos="0" w:leader="none"/>
          <w:tab w:val="right" w:pos="4320" w:leader="none"/>
          <w:tab w:val="left" w:pos="5760" w:leader="none"/>
          <w:tab w:val="right" w:pos="10080" w:leader="none"/>
        </w:tabs>
        <w:rPr>
          <w:color w:val="000000"/>
          <w:u w:val="single"/>
        </w:rPr>
      </w:pPr>
      <w:r>
        <w:rPr>
          <w:color w:val="000000"/>
          <w:u w:val="single"/>
        </w:rPr>
      </w:r>
    </w:p>
    <w:p>
      <w:pPr>
        <w:pStyle w:val="Normal"/>
        <w:tabs>
          <w:tab w:val="clear" w:pos="720"/>
          <w:tab w:val="left" w:pos="0" w:leader="none"/>
          <w:tab w:val="right" w:pos="4320" w:leader="none"/>
          <w:tab w:val="left" w:pos="5760" w:leader="none"/>
          <w:tab w:val="right" w:pos="10224" w:leader="none"/>
        </w:tabs>
        <w:rPr/>
      </w:pPr>
      <w:r>
        <w:rPr>
          <w:b/>
          <w:color w:val="000000"/>
        </w:rPr>
        <w:t>Name: ___________________________________</w:t>
      </w:r>
      <w:r>
        <w:rPr>
          <w:color w:val="000000"/>
        </w:rPr>
        <w:tab/>
      </w:r>
      <w:r>
        <w:rPr>
          <w:b/>
          <w:color w:val="000000"/>
        </w:rPr>
        <w:t>Name: _______________________________</w:t>
      </w:r>
      <w:r>
        <w:rPr>
          <w:color w:val="000000"/>
        </w:rPr>
        <w:tab/>
      </w:r>
    </w:p>
    <w:p>
      <w:pPr>
        <w:pStyle w:val="Normal"/>
        <w:tabs>
          <w:tab w:val="clear" w:pos="720"/>
          <w:tab w:val="left" w:pos="0" w:leader="none"/>
          <w:tab w:val="right" w:pos="4320" w:leader="none"/>
          <w:tab w:val="left" w:pos="5760" w:leader="none"/>
          <w:tab w:val="right" w:pos="10080" w:leader="none"/>
        </w:tabs>
        <w:rPr>
          <w:color w:val="000000"/>
        </w:rPr>
      </w:pPr>
      <w:r>
        <w:rPr>
          <w:color w:val="000000"/>
        </w:rPr>
      </w:r>
    </w:p>
    <w:p>
      <w:pPr>
        <w:pStyle w:val="Normal"/>
        <w:tabs>
          <w:tab w:val="clear" w:pos="720"/>
          <w:tab w:val="left" w:pos="0" w:leader="none"/>
          <w:tab w:val="right" w:pos="4320" w:leader="none"/>
          <w:tab w:val="left" w:pos="5760" w:leader="none"/>
          <w:tab w:val="right" w:pos="10224" w:leader="none"/>
        </w:tabs>
        <w:jc w:val="both"/>
        <w:rPr/>
      </w:pPr>
      <w:r>
        <w:rPr>
          <w:b/>
          <w:color w:val="000000"/>
        </w:rPr>
        <w:t>Title: ____________________________________</w:t>
      </w:r>
      <w:r>
        <w:rPr>
          <w:color w:val="000000"/>
        </w:rPr>
        <w:tab/>
      </w:r>
      <w:r>
        <w:rPr>
          <w:b/>
          <w:color w:val="000000"/>
        </w:rPr>
        <w:t>Title: ________________________________</w:t>
      </w:r>
    </w:p>
    <w:p>
      <w:pPr>
        <w:pStyle w:val="Normal"/>
        <w:tabs>
          <w:tab w:val="clear" w:pos="720"/>
          <w:tab w:val="left" w:pos="0" w:leader="none"/>
          <w:tab w:val="right" w:pos="4320" w:leader="none"/>
          <w:tab w:val="left" w:pos="5760" w:leader="none"/>
          <w:tab w:val="right" w:pos="10224" w:leader="none"/>
        </w:tabs>
        <w:jc w:val="both"/>
        <w:rPr>
          <w:b/>
          <w:color w:val="000000"/>
        </w:rPr>
      </w:pPr>
      <w:r>
        <w:rPr>
          <w:b/>
          <w:color w:val="000000"/>
        </w:rPr>
      </w:r>
    </w:p>
    <w:p>
      <w:pPr>
        <w:pStyle w:val="Normal"/>
        <w:tabs>
          <w:tab w:val="clear" w:pos="720"/>
          <w:tab w:val="left" w:pos="0" w:leader="none"/>
          <w:tab w:val="right" w:pos="4320" w:leader="none"/>
          <w:tab w:val="left" w:pos="5760" w:leader="none"/>
          <w:tab w:val="right" w:pos="10224" w:leader="none"/>
        </w:tabs>
        <w:jc w:val="both"/>
        <w:rPr/>
      </w:pPr>
      <w:r>
        <w:rPr>
          <w:b/>
          <w:color w:val="000000"/>
        </w:rPr>
        <w:t>Date: ____________________________________</w:t>
        <w:tab/>
        <w:t>Date: ________________________________</w:t>
      </w:r>
      <w:r>
        <w:rPr>
          <w:color w:val="000000"/>
        </w:rPr>
        <w:tab/>
      </w:r>
    </w:p>
    <w:sectPr>
      <w:headerReference w:type="default" r:id="rId2"/>
      <w:footerReference w:type="default" r:id="rId3"/>
      <w:type w:val="nextPage"/>
      <w:pgSz w:w="12240" w:h="15840"/>
      <w:pgMar w:left="1008" w:right="1008"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Arial" w:hAnsi="Arial" w:cs="Arial"/>
        <w:sz w:val="12"/>
        <w:lang w:val="en-CA" w:eastAsia="en-CA"/>
      </w:rPr>
    </w:pPr>
    <w:r>
      <w:rPr>
        <w:rFonts w:cs="Arial" w:ascii="Arial" w:hAnsi="Arial"/>
        <w:sz w:val="12"/>
        <w:lang w:val="en-CA" w:eastAsia="en-CA"/>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6492240" cy="146685"/>
              <wp:effectExtent l="0" t="0" r="0" b="0"/>
              <wp:wrapTopAndBottom/>
              <wp:docPr id="1" name="Frame1"/>
              <a:graphic xmlns:a="http://schemas.openxmlformats.org/drawingml/2006/main">
                <a:graphicData uri="http://schemas.microsoft.com/office/word/2010/wordprocessingShape">
                  <wps:wsp>
                    <wps:cNvSpPr txBox="1"/>
                    <wps:spPr>
                      <a:xfrm>
                        <a:off x="0" y="0"/>
                        <a:ext cx="6492240" cy="146685"/>
                      </a:xfrm>
                      <a:prstGeom prst="rect"/>
                      <a:solidFill>
                        <a:srgbClr val="FFFFFF">
                          <a:alpha val="0"/>
                        </a:srgbClr>
                      </a:solidFill>
                    </wps:spPr>
                    <wps:txbx>
                      <w:txbxContent>
                        <w:p>
                          <w:pPr>
                            <w:pStyle w:val="Normal"/>
                            <w:rPr>
                              <w:sz w:val="20"/>
                            </w:rPr>
                          </w:pPr>
                          <w:r>
                            <w:rPr>
                              <w:sz w:val="20"/>
                            </w:rPr>
                          </w:r>
                        </w:p>
                      </w:txbxContent>
                    </wps:txbx>
                    <wps:bodyPr anchor="t" lIns="0" tIns="0" rIns="0" bIns="0">
                      <a:noAutofit/>
                    </wps:bodyPr>
                  </wps:wsp>
                </a:graphicData>
              </a:graphic>
            </wp:anchor>
          </w:drawing>
        </mc:Choice>
        <mc:Fallback>
          <w:pict>
            <v:rect fillcolor="#FFFFFF" style="position:absolute;rotation:-0;width:511.2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20"/>
                      </w:rPr>
                    </w:pPr>
                    <w:r>
                      <w:rPr>
                        <w:sz w:val="20"/>
                      </w:rPr>
                    </w:r>
                  </w:p>
                </w:txbxContent>
              </v:textbox>
              <w10:wrap type="topAndBottom"/>
            </v:rect>
          </w:pict>
        </mc:Fallback>
      </mc:AlternateConten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Arial" w:hAnsi="Arial" w:cs="Arial"/>
        <w:sz w:val="12"/>
        <w:lang w:val="en-CA" w:eastAsia="en-CA"/>
      </w:rPr>
    </w:pPr>
    <w:r>
      <w:rPr>
        <w:rFonts w:cs="Arial" w:ascii="Arial" w:hAnsi="Arial"/>
        <w:sz w:val="12"/>
        <w:lang w:val="en-CA" w:eastAsia="en-CA"/>
      </w:rPr>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6492875" cy="146685"/>
              <wp:effectExtent l="0" t="0" r="0" b="0"/>
              <wp:wrapTopAndBottom/>
              <wp:docPr id="2" name="Frame2"/>
              <a:graphic xmlns:a="http://schemas.openxmlformats.org/drawingml/2006/main">
                <a:graphicData uri="http://schemas.microsoft.com/office/word/2010/wordprocessingShape">
                  <wps:wsp>
                    <wps:cNvSpPr txBox="1"/>
                    <wps:spPr>
                      <a:xfrm>
                        <a:off x="0" y="0"/>
                        <a:ext cx="6492875" cy="146685"/>
                      </a:xfrm>
                      <a:prstGeom prst="rect"/>
                      <a:solidFill>
                        <a:srgbClr val="FFFFFF">
                          <a:alpha val="0"/>
                        </a:srgbClr>
                      </a:solidFill>
                    </wps:spPr>
                    <wps:txbx>
                      <w:txbxContent>
                        <w:p>
                          <w:pPr>
                            <w:pStyle w:val="Normal"/>
                            <w:jc w:val="center"/>
                            <w:rPr>
                              <w:sz w:val="20"/>
                            </w:rPr>
                          </w:pPr>
                          <w:r>
                            <w:rPr>
                              <w:sz w:val="20"/>
                            </w:rPr>
                            <w:fldChar w:fldCharType="begin"/>
                          </w:r>
                          <w:r>
                            <w:rPr>
                              <w:sz w:val="20"/>
                            </w:rPr>
                            <w:instrText xml:space="preserve"> PAGE </w:instrText>
                          </w:r>
                          <w:r>
                            <w:rPr>
                              <w:sz w:val="20"/>
                            </w:rPr>
                            <w:fldChar w:fldCharType="separate"/>
                          </w:r>
                          <w:r>
                            <w:rPr>
                              <w:sz w:val="20"/>
                            </w:rPr>
                            <w:t>5</w:t>
                          </w:r>
                          <w:r>
                            <w:rPr>
                              <w:sz w:val="20"/>
                            </w:rPr>
                            <w:fldChar w:fldCharType="end"/>
                          </w:r>
                        </w:p>
                      </w:txbxContent>
                    </wps:txbx>
                    <wps:bodyPr anchor="t" lIns="0" tIns="0" rIns="0" bIns="0">
                      <a:noAutofit/>
                    </wps:bodyPr>
                  </wps:wsp>
                </a:graphicData>
              </a:graphic>
            </wp:anchor>
          </w:drawing>
        </mc:Choice>
        <mc:Fallback>
          <w:pict>
            <v:rect fillcolor="#FFFFFF" style="position:absolute;rotation:-0;width:511.25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sz w:val="20"/>
                      </w:rPr>
                    </w:pPr>
                    <w:r>
                      <w:rPr>
                        <w:sz w:val="20"/>
                      </w:rPr>
                      <w:fldChar w:fldCharType="begin"/>
                    </w:r>
                    <w:r>
                      <w:rPr>
                        <w:sz w:val="20"/>
                      </w:rPr>
                      <w:instrText xml:space="preserve"> PAGE </w:instrText>
                    </w:r>
                    <w:r>
                      <w:rPr>
                        <w:sz w:val="20"/>
                      </w:rPr>
                      <w:fldChar w:fldCharType="separate"/>
                    </w:r>
                    <w:r>
                      <w:rPr>
                        <w:sz w:val="20"/>
                      </w:rPr>
                      <w:t>5</w:t>
                    </w:r>
                    <w:r>
                      <w:rPr>
                        <w:sz w:val="20"/>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5040" w:start="432" w:end="432"/>
      <w:jc w:val="both"/>
      <w:rPr>
        <w:b/>
      </w:rPr>
    </w:pPr>
    <w:r>
      <w:rPr>
        <w:b/>
      </w:rPr>
      <w:t xml:space="preserve">CONFIDENTIAL DRAFT </w:t>
    </w:r>
  </w:p>
  <w:p>
    <w:pPr>
      <w:pStyle w:val="Normal"/>
      <w:ind w:firstLine="5040" w:start="432" w:end="432"/>
      <w:jc w:val="both"/>
      <w:rPr>
        <w:sz w:val="20"/>
      </w:rPr>
    </w:pPr>
    <w:r>
      <w:rPr>
        <w:b/>
      </w:rPr>
      <w:t xml:space="preserve">FOR DISCUSSION PURPOSES ONLY - </w:t>
      <w:tab/>
      <w:tab/>
      <w:tab/>
      <w:tab/>
      <w:tab/>
      <w:tab/>
      <w:tab/>
      <w:t xml:space="preserve">       </w:t>
      <w:tab/>
      <w:t xml:space="preserve">       NOT A FIRM OFFER </w:t>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360" w:end="0"/>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2001-01-12T18:25:00Z</dcterms:created>
  <dc:creator>James B. Headlee</dc:creator>
  <dc:description/>
  <dc:language>en-CA</dc:language>
  <cp:lastModifiedBy>lbracken</cp:lastModifiedBy>
  <cp:lastPrinted>2000-09-07T11:46:00Z</cp:lastPrinted>
  <dcterms:modified xsi:type="dcterms:W3CDTF">2001-01-12T18:25:00Z</dcterms:modified>
  <cp:revision>2</cp:revision>
  <dc:subject/>
  <dc:title>Contract No</dc:title>
</cp:coreProperties>
</file>