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pPr>
      <w:r>
        <w:rPr>
          <w:b/>
          <w:sz w:val="24"/>
        </w:rPr>
        <w:t>Date:</w:t>
        <w:tab/>
      </w:r>
      <w:r>
        <w:rPr>
          <w:sz w:val="24"/>
        </w:rPr>
        <w:tab/>
        <w:t>21</w:t>
      </w:r>
      <w:r>
        <w:rPr>
          <w:sz w:val="24"/>
          <w:vertAlign w:val="superscript"/>
        </w:rPr>
        <w:t>th</w:t>
      </w:r>
      <w:r>
        <w:rPr>
          <w:sz w:val="24"/>
        </w:rPr>
        <w:t xml:space="preserve"> June 2000</w:t>
      </w:r>
    </w:p>
    <w:p>
      <w:pPr>
        <w:pStyle w:val="Normal"/>
        <w:rPr/>
      </w:pPr>
      <w:r>
        <w:rPr>
          <w:b/>
          <w:sz w:val="24"/>
        </w:rPr>
        <w:t>To:</w:t>
        <w:tab/>
        <w:tab/>
      </w:r>
      <w:r>
        <w:rPr>
          <w:sz w:val="24"/>
        </w:rPr>
        <w:t>Distribution</w:t>
      </w:r>
    </w:p>
    <w:p>
      <w:pPr>
        <w:pStyle w:val="Normal"/>
        <w:rPr/>
      </w:pPr>
      <w:r>
        <w:rPr>
          <w:b/>
          <w:sz w:val="24"/>
        </w:rPr>
        <w:t>From:</w:t>
        <w:tab/>
      </w:r>
      <w:r>
        <w:rPr>
          <w:sz w:val="24"/>
        </w:rPr>
        <w:tab/>
        <w:t>Government and Regulatory Affairs - Enron Europe</w:t>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Normal"/>
        <w:rPr>
          <w:sz w:val="24"/>
        </w:rPr>
      </w:pPr>
      <w:r>
        <w:rPr>
          <w:sz w:val="24"/>
        </w:rPr>
      </w:r>
    </w:p>
    <w:p>
      <w:pPr>
        <w:pStyle w:val="Normal"/>
        <w:rPr/>
      </w:pPr>
      <w:r>
        <w:rPr/>
      </w:r>
    </w:p>
    <w:p>
      <w:pPr>
        <w:pStyle w:val="Normal"/>
        <w:spacing w:lineRule="atLeast" w:line="240"/>
        <w:rPr>
          <w:sz w:val="22"/>
          <w:lang w:val="en-AU" w:eastAsia="en-US"/>
        </w:rPr>
      </w:pPr>
      <w:r>
        <w:rPr>
          <w:sz w:val="22"/>
          <w:lang w:val="en-AU" w:eastAsia="en-US"/>
        </w:rPr>
      </w:r>
    </w:p>
    <w:p>
      <w:pPr>
        <w:pStyle w:val="Normal"/>
        <w:spacing w:lineRule="atLeast" w:line="240"/>
        <w:rPr>
          <w:rFonts w:ascii="Helv;Arial" w:hAnsi="Helv;Arial" w:cs="Helv;Arial"/>
          <w:b/>
          <w:color w:val="000000"/>
          <w:sz w:val="28"/>
          <w:lang w:val="en-AU" w:eastAsia="en-US"/>
        </w:rPr>
      </w:pPr>
      <w:r>
        <w:rPr>
          <w:b/>
          <w:color w:val="000000"/>
          <w:sz w:val="24"/>
          <w:lang w:val="en-AU" w:eastAsia="en-US"/>
        </w:rPr>
        <w:t>UK Power</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commented on the Balancing and Settlement Code which was released (on the Ofgem website) on 16 June.  We also participated in the industry consultation meetings on the governance aspects of the code and plan to send a representative to the upcoming meetings dealing with trading under the code.</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gave evidence to the Competition Commission (CC) on 19 June relating to Ofgem’s attempts to introduce a market abuse condition into the licence of generating companies.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Ofgem announced on 15 June that they would be investigating Edison Mission under the market abuse condition.  Comments are due 22 June.</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Ofgem released a consultation draft of the scheme for implementing NETA on 12 June.  Comments are due by 3 July.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Comments are due with Ofgem on the consultation paper "Connection and use of System Code. Proposed changes to the National Grid Company’s licence" by 3 July.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Comments are due on Ofgem’s guidelines to the application of the Competition Act 1998 by 7 July.</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UK Climate Change</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DETR has advised that the conclusions to the consultation on CHP Quality should be published this week</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EU</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The Energy Council met on May 30 in Brussels. The agenda and the main conclusions were circulated within the department.</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On June 5-6 the conference ‘Launching a Common European Energy Market’ took place in Lisbon. Peter Styles attended on behalf of Enron and EFET (European Federation of Energy Traders). The agenda covered the progress of the Internal Electricity Market, the benefits and implications of the liberalisation of electricity markets in Europe, discussions on cross-border tariffs and congestion management.</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 xml:space="preserve">On June 8-9 EFET Plenary Session and the Board meeting took place in Warsaw. The decision was taken that EFET through its German Gas Working Group would be participating in the negotiations on VV gas 2.  </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The meeting of the Senior Commercial Officers took place in Helsinki on June 18. The Energy Service Coalition presented the issue of energy services and we gave an brief update on the current status of energy markets in Europe.</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On Monday, June 19 we are meeting the President of the French Regulator (CRE), M. Syrota, and his cabinet on behalf of EFET in Paris.</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Austria</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Revision of new electricity bill has been substantially softened and reduces the chance of creation of a regulator, sale of the government's 51% share in Verbund, and establishment of an ISO</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Have held several meetings with key decision makers in Austria and followed up with a letter and 4 discussion papers on various topics related to power sector reform.</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Belgium</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On Wednesday, June 14 we attended BERT (Brussels Energy Round Table) lunchtime presentation by Mr. Deleuze, Federal Minister for Energy and Sustainable Development. Following this presentation we have addressed a letter to Mr. Deleuze soliciting a meeting with him and his cabinet.</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France</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In response to a request for comments from the CRE, the new electricity regulator, on a set of principles it plans to utilise in setting transmission tariffs, Enron will provide a written submission on this subject by close of business on Monday, 26 June.  Our comments will focus on the need to recognise not only the rights of consumers, but also the necessity of recognising the role of wholesale traders in an open, competitive electricity market.</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We have tentatively scheduled a meeting with the Chairman and Commissioners of the CRE on Thursday, 6 July, in Paris.  This meeting follows on from our initial introductory meeting to the Director General and his staff at the CRE on their scope of work and Enron's desire to be an active participant in CRE consultations, which was held on 17 May.</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EES</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With the revenue model for Transco, estimated some revenue projections to 2007.</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Used these revenue projections to project Dutch gas transportation rates.</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Discussed pricing methodology with the Norwegian electricity regulator.</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Germany</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One formal Cartel Office proceeding started to get Enron access on reasonable terms to gas network to deliver to customer in southern Germany.</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Another Cartel Office case pending for similar gas access problem for a second client in Germany.</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Next week will initiate a Cartel Office proceeding against Bayernwerk for denial of access to Etzenricht interconnector on Czech/Bavarian border.</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RWE/VEW merger approval from Cartel Office has been delayed until July 10th -pending development of remedies for the gas side. In the meantime, we are working with the Cartel Office to develop a proposal for creating a balancing market for power in RWE/VEW's control areas.</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Veba/Viag has been given formal go-ahead from EU Commission (Merger Task Force) with the terms we expected. For more details please see Peter Styles.</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 xml:space="preserve">Initiating work on EdF/EnBW acquisition which will require EU approval. </w:t>
      </w:r>
    </w:p>
    <w:p>
      <w:pPr>
        <w:pStyle w:val="Normal"/>
        <w:numPr>
          <w:ilvl w:val="0"/>
          <w:numId w:val="1"/>
        </w:numPr>
        <w:spacing w:lineRule="atLeast" w:line="240" w:before="120" w:after="120"/>
        <w:ind w:hanging="357" w:start="357" w:end="0"/>
        <w:jc w:val="both"/>
        <w:rPr>
          <w:rFonts w:ascii="Helv;Arial" w:hAnsi="Helv;Arial" w:cs="Helv;Arial"/>
          <w:color w:val="000000"/>
          <w:lang w:val="en-AU" w:eastAsia="en-US"/>
        </w:rPr>
      </w:pPr>
      <w:r>
        <w:rPr>
          <w:color w:val="000000"/>
          <w:sz w:val="22"/>
          <w:lang w:val="en-AU" w:eastAsia="en-US"/>
        </w:rPr>
        <w:t xml:space="preserve">Several meetings planned with Ministry of Economics and energy speakers in German Parliament on the proposed gas network agreement, and </w:t>
      </w:r>
      <w:r>
        <w:rPr>
          <w:rFonts w:cs="Helv;Arial" w:ascii="Helv;Arial" w:hAnsi="Helv;Arial"/>
          <w:color w:val="000000"/>
          <w:lang w:val="en-AU" w:eastAsia="en-US"/>
        </w:rPr>
        <w:t>t</w:t>
      </w:r>
      <w:r>
        <w:rPr>
          <w:color w:val="000000"/>
          <w:sz w:val="22"/>
          <w:lang w:val="en-AU" w:eastAsia="en-US"/>
        </w:rPr>
        <w:t xml:space="preserve">he revision of the German energy law. </w:t>
      </w:r>
    </w:p>
    <w:p>
      <w:pPr>
        <w:pStyle w:val="Normal"/>
        <w:numPr>
          <w:ilvl w:val="0"/>
          <w:numId w:val="1"/>
        </w:numPr>
        <w:spacing w:lineRule="atLeast" w:line="240" w:before="120" w:after="120"/>
        <w:ind w:hanging="357" w:start="357" w:end="0"/>
        <w:jc w:val="both"/>
        <w:rPr>
          <w:b/>
          <w:color w:val="000000"/>
          <w:sz w:val="24"/>
          <w:lang w:val="en-AU" w:eastAsia="en-US"/>
        </w:rPr>
      </w:pPr>
      <w:r>
        <w:rPr>
          <w:color w:val="000000"/>
          <w:sz w:val="22"/>
          <w:lang w:val="en-AU" w:eastAsia="en-US"/>
        </w:rPr>
        <w:t xml:space="preserve">At present, Government has stated its intention not to meet with EU Directive deadline of August 2000 to implement Gas Directive and has also indicated that it would only introduce a minimal market opening of approx. 30%. </w:t>
      </w:r>
    </w:p>
    <w:p>
      <w:pPr>
        <w:pStyle w:val="Normal"/>
        <w:numPr>
          <w:ilvl w:val="0"/>
          <w:numId w:val="1"/>
        </w:numPr>
        <w:spacing w:lineRule="atLeast" w:line="240" w:before="120" w:after="120"/>
        <w:ind w:hanging="357" w:start="357" w:end="0"/>
        <w:jc w:val="both"/>
        <w:rPr>
          <w:b/>
          <w:color w:val="000000"/>
          <w:sz w:val="24"/>
          <w:lang w:val="en-AU" w:eastAsia="en-US"/>
        </w:rPr>
      </w:pPr>
      <w:r>
        <w:rPr>
          <w:color w:val="000000"/>
          <w:sz w:val="22"/>
          <w:lang w:val="en-AU" w:eastAsia="en-US"/>
        </w:rPr>
        <w:t>Discussed a potential study on gas transportation charges with a consultant.</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Norway</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The parliament has ordered the government to prepare a report on Statnett's roles and responsibilities, its ownership structure and "the position of users in a reoriented Statnett".  We will seek to give input to the government report.</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Netherlands</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 xml:space="preserve">We chaired the working group meeting electricity of VOEG (the Dutch traders organisation) and discussed the follow up on TenneT's proposed allocation of import capacity for the year 2001.   </w:t>
      </w:r>
    </w:p>
    <w:p>
      <w:pPr>
        <w:pStyle w:val="Normal"/>
        <w:numPr>
          <w:ilvl w:val="0"/>
          <w:numId w:val="1"/>
        </w:numPr>
        <w:spacing w:lineRule="atLeast" w:line="240" w:before="120" w:after="120"/>
        <w:ind w:hanging="357" w:start="357" w:end="0"/>
        <w:jc w:val="both"/>
        <w:rPr>
          <w:rFonts w:ascii="Helv;Arial" w:hAnsi="Helv;Arial" w:cs="Helv;Arial"/>
          <w:color w:val="000000"/>
          <w:lang w:val="en-AU" w:eastAsia="en-US"/>
        </w:rPr>
      </w:pPr>
      <w:r>
        <w:rPr>
          <w:color w:val="000000"/>
          <w:sz w:val="22"/>
          <w:lang w:val="en-AU" w:eastAsia="en-US"/>
        </w:rPr>
        <w:t>We did attend an information meeting of TenneT on reserve and control capacity.</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We expect the DTE making a decision on the complaints against decision number 5. This decision will include a view on the allocation of import capacity to Sepo contracts.</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On the 20th of June the Upper House debated on the Gas law. We expect the new gas law in place on the first of July 2000.</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Poland</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Marek Zerka, board member of PSE, has asked us for comments on the draft "commercial operator" contract they have presented to us, together with comments on PSE's draft balancing market regulations.  The current informal message from PSE to us is that they anticipate delay in being able to offer us imbalance settlement and balancing responsibility contracts due to legal and other reasons (partly connected with the fact that all the new secondary legislation may not be in place until late summer/autumn).  This suggests we will be unable to trade bilaterally, or through the Power Exchange (which opens on 1 July) for at least a couple a months.  We are considering our position and will be giving comments to PSE very shortly.</w:t>
      </w:r>
    </w:p>
    <w:p>
      <w:pPr>
        <w:pStyle w:val="Normal"/>
        <w:numPr>
          <w:ilvl w:val="0"/>
          <w:numId w:val="1"/>
        </w:numPr>
        <w:spacing w:lineRule="atLeast" w:line="240" w:before="120" w:after="120"/>
        <w:ind w:hanging="357" w:start="357" w:end="0"/>
        <w:jc w:val="both"/>
        <w:rPr>
          <w:rFonts w:ascii="Helv;Arial" w:hAnsi="Helv;Arial" w:cs="Helv;Arial"/>
          <w:color w:val="000000"/>
          <w:lang w:val="en-AU" w:eastAsia="en-US"/>
        </w:rPr>
      </w:pPr>
      <w:r>
        <w:rPr>
          <w:color w:val="000000"/>
          <w:sz w:val="22"/>
          <w:lang w:val="en-AU" w:eastAsia="en-US"/>
        </w:rPr>
        <w:t>We will attend the Power Exchange's 3-day training session in English from 19-21 June.</w:t>
      </w:r>
      <w:r>
        <w:rPr>
          <w:rFonts w:cs="Helv;Arial" w:ascii="Helv;Arial" w:hAnsi="Helv;Arial"/>
          <w:color w:val="000000"/>
          <w:lang w:val="en-AU" w:eastAsia="en-US"/>
        </w:rPr>
        <w:t xml:space="preserve">  </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We have now heard from PSE and the regulator that the Power Exchange has applied to the regulator for a trading license.  We already have concerns about the Power Exchange about as an unregulated entity and this news raises further questions.  While there may be an uncontroversial, technical explanation, we are taking legal advice and may seek formal confirmation from the Power Exchange of their motivations.</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In Rzeczpospolita, Poland's business newspaper, an article advertising the creation and objectives of FREE was published on 13 June.</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We attended the Energy Working Group meeting of the Centre of Strategic and International Studies in Warsaw on 15 June.  We presented the concerns of foreign investors about current regulatory issues in front of the Undersecretary of State at Ministry of State Treasury and the President of the Energy Regulatory Authority.</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Portugal</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We prepared comments to the European Commission re. on the ENI's proposed take of control of GALP. Our position is that, given the existing market concentration, the deal between ENI and GALP will need to be accompanied by an acceleration of liberalisation and market opening in the Portuguese gas market.</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Romania</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We submitted an application for a supply license on behalf of the Petrom Enron Gas JV, and discussed the terms of the license with the electricity regulator.  We should expect to hear within 40 days.  Transmission tariffs are to be published; this was held up because of a dispute over jurisdiction between the regulator and the Competition Office.</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The Delegation to the European Commission has drawn up a short list of candidates for technical assistance on gas deregulation, which will be used for tenders.  An appointment is not expected before September.  In the meantime, we are in discussion with the gas regulator over a request from the parliament to simplify the gas ordinance prior to its translation into law, and over secondary legislation on eligibility and licensing.</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Switzerland</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Key news: delay in passage of energy reform law suggests that market will not formally begin to open until end of 2001/beginning of 2002.</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On 7 June, 2000 the Ständerat (the upper house of the Swiss parliament) voted to postpone the debate on the Elektrizitätsmarktgesetz (EMG), which provides for the liberalisation of the electricity market to the autumn session.</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Spain</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Meeting with the President of REE to discuss the access and connection of the Arcos power plant. REE will act as an Enron's agent for the permitting and basic engineering of the substation, and Enron will be able to contract directly the subcontractor for the realisation of the works. REE will also act as Enron's agent for the supervision of the works as well. REE showed some optimism about start of operation in 1Q 2003.</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Turkey</w:t>
      </w:r>
    </w:p>
    <w:p>
      <w:pPr>
        <w:pStyle w:val="Normal"/>
        <w:numPr>
          <w:ilvl w:val="0"/>
          <w:numId w:val="1"/>
        </w:numPr>
        <w:spacing w:lineRule="atLeast" w:line="240" w:before="120" w:after="120"/>
        <w:ind w:hanging="357" w:start="357" w:end="0"/>
        <w:jc w:val="both"/>
        <w:rPr>
          <w:color w:val="000000"/>
          <w:sz w:val="22"/>
          <w:lang w:val="en-AU" w:eastAsia="en-US"/>
        </w:rPr>
      </w:pPr>
      <w:r>
        <w:rPr>
          <w:color w:val="000000"/>
          <w:sz w:val="22"/>
          <w:lang w:val="en-AU" w:eastAsia="en-US"/>
        </w:rPr>
        <w:t>We met with the Petroleum Affairs General Directorate on 16 June to discuss import license arrangements for the potential fuel supply contract to Trakya.  Enron will be giving an energy briefing as part of the Congressional staff visit on 2-9 July.</w:t>
      </w:r>
    </w:p>
    <w:p>
      <w:pPr>
        <w:pStyle w:val="Normal"/>
        <w:spacing w:lineRule="atLeast" w:line="240" w:before="120" w:after="120"/>
        <w:rPr>
          <w:color w:val="000000"/>
          <w:sz w:val="22"/>
          <w:lang w:val="en-AU" w:eastAsia="en-US"/>
        </w:rPr>
      </w:pPr>
      <w:r>
        <w:rPr>
          <w:color w:val="000000"/>
          <w:sz w:val="22"/>
          <w:lang w:val="en-AU" w:eastAsia="en-US"/>
        </w:rPr>
      </w:r>
    </w:p>
    <w:p>
      <w:pPr>
        <w:pStyle w:val="Normal"/>
        <w:spacing w:lineRule="atLeast" w:line="240"/>
        <w:rPr/>
      </w:pPr>
      <w:r>
        <w:rPr/>
        <w:t>Distribution</w:t>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Tim Battaglia</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Stuart Ffoulkes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lang w:val="en-AU" w:eastAsia="en-US"/>
              </w:rPr>
            </w:pPr>
            <w:r>
              <w:rPr>
                <w:color w:val="000000"/>
                <w:sz w:val="18"/>
                <w:lang w:val="en-AU" w:eastAsia="en-US"/>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color w:val="000000"/>
                <w:sz w:val="18"/>
                <w:lang w:val="en-AU" w:eastAsia="en-US"/>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bl>
    <w:p>
      <w:pPr>
        <w:pStyle w:val="Normal"/>
        <w:jc w:val="both"/>
        <w:rPr>
          <w:sz w:val="22"/>
        </w:rPr>
      </w:pPr>
      <w:r>
        <w:rPr>
          <w:sz w:val="22"/>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2000-06-13T05:58:00Z</dcterms:created>
  <dc:creator>SEvans2</dc:creator>
  <dc:description/>
  <dc:language>en-CA</dc:language>
  <cp:lastModifiedBy>KBanks</cp:lastModifiedBy>
  <cp:lastPrinted>2000-06-21T12:57:00Z</cp:lastPrinted>
  <dcterms:modified xsi:type="dcterms:W3CDTF">2000-06-21T09:37:00Z</dcterms:modified>
  <cp:revision>13</cp:revision>
  <dc:subject/>
  <dc:title>Weekly Report </dc:title>
</cp:coreProperties>
</file>