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86" w:type="dxa"/>
        <w:jc w:val="start"/>
        <w:tblInd w:w="0" w:type="dxa"/>
        <w:tblLayout w:type="fixed"/>
        <w:tblCellMar>
          <w:top w:w="0" w:type="dxa"/>
          <w:start w:w="36" w:type="dxa"/>
          <w:bottom w:w="0" w:type="dxa"/>
          <w:end w:w="36" w:type="dxa"/>
        </w:tblCellMar>
      </w:tblPr>
      <w:tblGrid>
        <w:gridCol w:w="864"/>
        <w:gridCol w:w="3924"/>
        <w:gridCol w:w="1584"/>
        <w:gridCol w:w="3114"/>
      </w:tblGrid>
      <w:tr>
        <w:trPr/>
        <w:tc>
          <w:tcPr>
            <w:tcW w:w="9486" w:type="dxa"/>
            <w:gridSpan w:val="4"/>
            <w:tcBorders>
              <w:top w:val="single" w:sz="4" w:space="0" w:color="000000"/>
              <w:start w:val="single" w:sz="4" w:space="0" w:color="000000"/>
              <w:end w:val="single" w:sz="4" w:space="0" w:color="000000"/>
            </w:tcBorders>
          </w:tcPr>
          <w:p>
            <w:pPr>
              <w:pStyle w:val="Normal"/>
              <w:spacing w:before="120" w:after="120"/>
              <w:jc w:val="center"/>
              <w:rPr>
                <w:b/>
              </w:rPr>
            </w:pPr>
            <w:bookmarkStart w:id="0" w:name="MemoHeadOffice"/>
            <w:bookmarkEnd w:id="0"/>
            <w:r>
              <w:rPr>
                <w:b/>
              </w:rPr>
              <w:t>OSLER, HOSKIN &amp; HARCOURT LLP</w:t>
            </w:r>
          </w:p>
        </w:tc>
      </w:tr>
      <w:tr>
        <w:trPr/>
        <w:tc>
          <w:tcPr>
            <w:tcW w:w="9486" w:type="dxa"/>
            <w:gridSpan w:val="4"/>
            <w:tcBorders>
              <w:start w:val="single" w:sz="4" w:space="0" w:color="000000"/>
              <w:end w:val="single" w:sz="4" w:space="0" w:color="000000"/>
            </w:tcBorders>
          </w:tcPr>
          <w:p>
            <w:pPr>
              <w:pStyle w:val="Normal"/>
              <w:spacing w:before="120" w:after="240"/>
              <w:jc w:val="center"/>
              <w:rPr>
                <w:b/>
              </w:rPr>
            </w:pPr>
            <w:r>
              <w:rPr>
                <w:b/>
                <w:spacing w:val="160"/>
              </w:rPr>
              <w:t>MEMORANDUM</w:t>
            </w:r>
          </w:p>
        </w:tc>
      </w:tr>
      <w:tr>
        <w:trPr/>
        <w:tc>
          <w:tcPr>
            <w:tcW w:w="864" w:type="dxa"/>
            <w:tcBorders>
              <w:start w:val="single" w:sz="4" w:space="0" w:color="000000"/>
            </w:tcBorders>
          </w:tcPr>
          <w:p>
            <w:pPr>
              <w:pStyle w:val="MemoHeader"/>
              <w:spacing w:before="0" w:after="180"/>
              <w:rPr/>
            </w:pPr>
            <w:r>
              <w:rPr/>
              <w:t>TO:</w:t>
            </w:r>
          </w:p>
        </w:tc>
        <w:tc>
          <w:tcPr>
            <w:tcW w:w="3924" w:type="dxa"/>
            <w:tcBorders/>
          </w:tcPr>
          <w:p>
            <w:pPr>
              <w:pStyle w:val="To"/>
              <w:rPr/>
            </w:pPr>
            <w:r>
              <w:rPr>
                <w:rStyle w:val="Prompt"/>
              </w:rPr>
              <w:t>Xi Xi</w:t>
            </w:r>
          </w:p>
          <w:p>
            <w:pPr>
              <w:pStyle w:val="To"/>
              <w:ind w:hanging="0" w:start="0" w:end="0"/>
              <w:rPr/>
            </w:pPr>
            <w:r>
              <w:rPr/>
            </w:r>
          </w:p>
        </w:tc>
        <w:tc>
          <w:tcPr>
            <w:tcW w:w="1584" w:type="dxa"/>
            <w:tcBorders/>
          </w:tcPr>
          <w:p>
            <w:pPr>
              <w:pStyle w:val="MemoHeader"/>
              <w:spacing w:before="0" w:after="180"/>
              <w:rPr/>
            </w:pPr>
            <w:r>
              <w:rPr/>
              <w:t>DATE:</w:t>
            </w:r>
          </w:p>
        </w:tc>
        <w:tc>
          <w:tcPr>
            <w:tcW w:w="3114" w:type="dxa"/>
            <w:tcBorders>
              <w:end w:val="single" w:sz="4" w:space="0" w:color="000000"/>
            </w:tcBorders>
          </w:tcPr>
          <w:p>
            <w:pPr>
              <w:pStyle w:val="MemoHeader"/>
              <w:spacing w:before="0" w:after="180"/>
              <w:rPr>
                <w:lang w:val="en-CA"/>
              </w:rPr>
            </w:pPr>
            <w:r>
              <w:rPr>
                <w:lang w:val="en-CA"/>
              </w:rPr>
              <w:t>October 26, 2000</w:t>
            </w:r>
          </w:p>
        </w:tc>
      </w:tr>
      <w:tr>
        <w:trPr/>
        <w:tc>
          <w:tcPr>
            <w:tcW w:w="864" w:type="dxa"/>
            <w:tcBorders>
              <w:start w:val="single" w:sz="4" w:space="0" w:color="000000"/>
            </w:tcBorders>
          </w:tcPr>
          <w:p>
            <w:pPr>
              <w:pStyle w:val="MemoHeader"/>
              <w:spacing w:before="180" w:after="180"/>
              <w:jc w:val="start"/>
              <w:rPr/>
            </w:pPr>
            <w:r>
              <w:rPr/>
              <w:t>FROM:</w:t>
            </w:r>
          </w:p>
        </w:tc>
        <w:tc>
          <w:tcPr>
            <w:tcW w:w="3924" w:type="dxa"/>
            <w:tcBorders/>
          </w:tcPr>
          <w:p>
            <w:pPr>
              <w:pStyle w:val="MemoHeader"/>
              <w:spacing w:before="180" w:after="180"/>
              <w:jc w:val="start"/>
              <w:rPr/>
            </w:pPr>
            <w:r>
              <w:rPr/>
              <w:t>Cynthia A. Rathwell</w:t>
            </w:r>
          </w:p>
        </w:tc>
        <w:tc>
          <w:tcPr>
            <w:tcW w:w="1584" w:type="dxa"/>
            <w:tcBorders/>
          </w:tcPr>
          <w:p>
            <w:pPr>
              <w:pStyle w:val="MemoHeader"/>
              <w:spacing w:before="180" w:after="180"/>
              <w:jc w:val="start"/>
              <w:rPr/>
            </w:pPr>
            <w:r>
              <w:rPr/>
              <w:t>EXT. NO:</w:t>
            </w:r>
          </w:p>
        </w:tc>
        <w:tc>
          <w:tcPr>
            <w:tcW w:w="3114" w:type="dxa"/>
            <w:tcBorders>
              <w:end w:val="single" w:sz="4" w:space="0" w:color="000000"/>
            </w:tcBorders>
          </w:tcPr>
          <w:p>
            <w:pPr>
              <w:pStyle w:val="MemoHeader"/>
              <w:spacing w:before="180" w:after="180"/>
              <w:jc w:val="start"/>
              <w:rPr/>
            </w:pPr>
            <w:r>
              <w:rPr/>
              <w:t>1088</w:t>
            </w:r>
          </w:p>
        </w:tc>
      </w:tr>
      <w:tr>
        <w:trPr/>
        <w:tc>
          <w:tcPr>
            <w:tcW w:w="864" w:type="dxa"/>
            <w:tcBorders>
              <w:start w:val="single" w:sz="4" w:space="0" w:color="000000"/>
              <w:bottom w:val="single" w:sz="4" w:space="0" w:color="000000"/>
            </w:tcBorders>
          </w:tcPr>
          <w:p>
            <w:pPr>
              <w:pStyle w:val="MemoHeader"/>
              <w:spacing w:before="180" w:after="180"/>
              <w:jc w:val="start"/>
              <w:rPr/>
            </w:pPr>
            <w:r>
              <w:rPr/>
              <w:t>RE:</w:t>
            </w:r>
          </w:p>
        </w:tc>
        <w:tc>
          <w:tcPr>
            <w:tcW w:w="3924" w:type="dxa"/>
            <w:tcBorders>
              <w:bottom w:val="single" w:sz="4" w:space="0" w:color="000000"/>
            </w:tcBorders>
          </w:tcPr>
          <w:p>
            <w:pPr>
              <w:pStyle w:val="MemoHeader"/>
              <w:tabs>
                <w:tab w:val="clear" w:pos="720"/>
                <w:tab w:val="left" w:pos="576" w:leader="none"/>
              </w:tabs>
              <w:spacing w:before="180" w:after="180"/>
              <w:rPr/>
            </w:pPr>
            <w:r>
              <w:rPr>
                <w:rStyle w:val="Prompt"/>
              </w:rPr>
              <w:t>Enron Broadband Services, Inc.</w:t>
            </w:r>
          </w:p>
        </w:tc>
        <w:tc>
          <w:tcPr>
            <w:tcW w:w="1584" w:type="dxa"/>
            <w:tcBorders>
              <w:bottom w:val="single" w:sz="4" w:space="0" w:color="000000"/>
            </w:tcBorders>
          </w:tcPr>
          <w:p>
            <w:pPr>
              <w:pStyle w:val="MemoHeader"/>
              <w:spacing w:before="180" w:after="180"/>
              <w:jc w:val="start"/>
              <w:rPr/>
            </w:pPr>
            <w:r>
              <w:rPr/>
              <w:t>MATTER NO:</w:t>
            </w:r>
          </w:p>
        </w:tc>
        <w:tc>
          <w:tcPr>
            <w:tcW w:w="3114" w:type="dxa"/>
            <w:tcBorders>
              <w:bottom w:val="single" w:sz="4" w:space="0" w:color="000000"/>
              <w:end w:val="single" w:sz="4" w:space="0" w:color="000000"/>
            </w:tcBorders>
          </w:tcPr>
          <w:p>
            <w:pPr>
              <w:pStyle w:val="MemoHeader"/>
              <w:spacing w:before="180" w:after="180"/>
              <w:jc w:val="start"/>
              <w:rPr/>
            </w:pPr>
            <w:r>
              <w:rPr/>
              <w:t>1017637</w:t>
            </w:r>
          </w:p>
        </w:tc>
      </w:tr>
    </w:tbl>
    <w:p>
      <w:pPr>
        <w:pStyle w:val="OHHPlain"/>
        <w:rPr/>
      </w:pPr>
      <w:r>
        <w:rPr/>
      </w:r>
    </w:p>
    <w:p>
      <w:pPr>
        <w:pStyle w:val="OHHpara"/>
        <w:rPr>
          <w:rStyle w:val="Prompt"/>
        </w:rPr>
      </w:pPr>
      <w:r>
        <w:rPr>
          <w:rStyle w:val="Prompt"/>
          <w:b/>
          <w:u w:val="single"/>
        </w:rPr>
        <w:t>ISSUE:</w:t>
      </w:r>
    </w:p>
    <w:p>
      <w:pPr>
        <w:pStyle w:val="OHHpara"/>
        <w:rPr/>
      </w:pPr>
      <w:r>
        <w:rPr>
          <w:rStyle w:val="Prompt"/>
        </w:rPr>
        <w:t>You asked me to describe briefly the rules for carrying on a video-on-demand (“VOD”) service in Canada.  This analysis addresses the regulatory framework where the VOD service is delivered by broadcasting distribution undertakings (“BDUs” – i.e. cable, DBS/DTH or MDS systems) and, alternatively, where delivery occurs via the Internet.</w:t>
      </w:r>
    </w:p>
    <w:p>
      <w:pPr>
        <w:pStyle w:val="OHHpara"/>
        <w:rPr/>
      </w:pPr>
      <w:r>
        <w:rPr>
          <w:rStyle w:val="Prompt"/>
        </w:rPr>
        <w:t>The following is a general overview only of Canada’s rules pertaining to and current processes considering VOD.  The application of any aspect of the rules to a particular set of facts should be addressed specifically.  This memorandum should not be relied upon as legal advice with respect to any particular circumstances.  We are able to provide such specific advice should you require it.</w:t>
      </w:r>
    </w:p>
    <w:p>
      <w:pPr>
        <w:pStyle w:val="OHHpara"/>
        <w:rPr>
          <w:rStyle w:val="Prompt"/>
        </w:rPr>
      </w:pPr>
      <w:r>
        <w:rPr>
          <w:rStyle w:val="Prompt"/>
          <w:b/>
          <w:u w:val="single"/>
        </w:rPr>
        <w:t>ANALYSIS:</w:t>
      </w:r>
    </w:p>
    <w:p>
      <w:pPr>
        <w:pStyle w:val="OHHpara"/>
        <w:rPr>
          <w:rStyle w:val="Prompt"/>
        </w:rPr>
      </w:pPr>
      <w:r>
        <w:rPr>
          <w:rStyle w:val="Prompt"/>
          <w:b/>
          <w:u w:val="single"/>
        </w:rPr>
        <w:t>VOD Services Carried by BDUs</w:t>
      </w:r>
    </w:p>
    <w:p>
      <w:pPr>
        <w:pStyle w:val="OHHpara"/>
        <w:rPr/>
      </w:pPr>
      <w:r>
        <w:rPr>
          <w:rStyle w:val="Prompt"/>
          <w:u w:val="single"/>
        </w:rPr>
        <w:t>The Licensing Requirement</w:t>
      </w:r>
    </w:p>
    <w:p>
      <w:pPr>
        <w:pStyle w:val="OHHpara"/>
        <w:rPr/>
      </w:pPr>
      <w:r>
        <w:rPr>
          <w:rStyle w:val="Prompt"/>
        </w:rPr>
        <w:t xml:space="preserve">The Canadian Radio-television and Telecommunications Commission (“CRTC” or “Commission”), which regulates broadcasting in Canada, requires that VOD services delivered by broadcast distribution undertakings be licensed.  While the Commission issued an Exemption Order in 1994 with respect to field trials and experiments to test and develop VOD technology and to determine the feasibility of such services (the “VOD Exemption Order”, Public Notice CRTC 1994-118, attached as </w:t>
      </w:r>
      <w:r>
        <w:rPr>
          <w:rStyle w:val="Prompt"/>
          <w:b/>
        </w:rPr>
        <w:t>Appendix 1</w:t>
      </w:r>
      <w:r>
        <w:rPr>
          <w:rStyle w:val="Prompt"/>
        </w:rPr>
        <w:t xml:space="preserve">), it also made it clear that a party wishing to provide a VOD programming service on </w:t>
      </w:r>
      <w:r>
        <w:rPr>
          <w:rStyle w:val="Prompt"/>
          <w:i/>
        </w:rPr>
        <w:t xml:space="preserve">other than </w:t>
      </w:r>
      <w:r>
        <w:rPr>
          <w:rStyle w:val="Prompt"/>
        </w:rPr>
        <w:t>an experimental basis would have to seek a licence.</w:t>
      </w:r>
    </w:p>
    <w:p>
      <w:pPr>
        <w:pStyle w:val="OHHpara"/>
        <w:rPr/>
      </w:pPr>
      <w:r>
        <w:rPr>
          <w:rStyle w:val="Prompt"/>
        </w:rPr>
        <w:t xml:space="preserve">Although experimental VOD undertakings </w:t>
      </w:r>
      <w:r>
        <w:rPr>
          <w:rStyle w:val="Prompt"/>
          <w:i/>
        </w:rPr>
        <w:t>may</w:t>
      </w:r>
      <w:r>
        <w:rPr>
          <w:rStyle w:val="Prompt"/>
        </w:rPr>
        <w:t xml:space="preserve"> be exempt from licensing, an exemption is dependent upon the satisfaction of all exemption criteria included in the VOD Exemption Order.  These include compliance by the exempt undertaking with Canadian ownership requirements (discussed further below), and that any feature motion pictures forming part of the programming offering be obtained exclusively from a pay-per-view programming undertaking licensed by the CRTC.</w:t>
      </w:r>
    </w:p>
    <w:p>
      <w:pPr>
        <w:pStyle w:val="OHHpara"/>
        <w:rPr>
          <w:rStyle w:val="Prompt"/>
        </w:rPr>
      </w:pPr>
      <w:r>
        <w:rPr>
          <w:rStyle w:val="Prompt"/>
          <w:u w:val="single"/>
        </w:rPr>
        <w:t>The CRTC’s View of the Nature of a Licensable VOD Service</w:t>
      </w:r>
    </w:p>
    <w:p>
      <w:pPr>
        <w:pStyle w:val="OHHpara"/>
        <w:rPr/>
      </w:pPr>
      <w:r>
        <w:rPr>
          <w:rStyle w:val="Prompt"/>
        </w:rPr>
        <w:t>In the Public Notice which accompanied the 1994 Exemption Order, the Commission characterized the nature of a VOD service as one:</w:t>
      </w:r>
    </w:p>
    <w:p>
      <w:pPr>
        <w:pStyle w:val="OHHpara"/>
        <w:ind w:start="720" w:end="720"/>
        <w:rPr/>
      </w:pPr>
      <w:r>
        <w:rPr>
          <w:rStyle w:val="Prompt"/>
        </w:rPr>
        <w:t>…</w:t>
      </w:r>
      <w:r>
        <w:rPr>
          <w:rStyle w:val="Prompt"/>
        </w:rPr>
        <w:t>that provides programs, as defined by the [Broadcasting Act], transmitted by means of telecommunications, where individual consumers select specific programs to be received by means of broadcasting receiving apparatus.</w:t>
      </w:r>
    </w:p>
    <w:p>
      <w:pPr>
        <w:pStyle w:val="OHHpara"/>
        <w:rPr/>
      </w:pPr>
      <w:r>
        <w:rPr>
          <w:rStyle w:val="Prompt"/>
        </w:rPr>
        <w:t>The licensing framework for VOD programming services is set out in Public Notice CRTC 1997-83.  That Public Notice elaborates upon the Commission’s view of the nature of a VOD service, namely:</w:t>
      </w:r>
    </w:p>
    <w:p>
      <w:pPr>
        <w:pStyle w:val="OHHpara"/>
        <w:ind w:start="720" w:end="720"/>
        <w:rPr/>
      </w:pPr>
      <w:r>
        <w:rPr>
          <w:rStyle w:val="Prompt"/>
        </w:rPr>
        <w:t>VOD services require three basic elements: a library or source facility such as a video server or servers, an interactive navigation system, and a distribution system that has been upgraded to allow for digital signal transmissions.  Beyond that, there are numerous possibilities with respect to the placement of servers within the distribution system, the speed of delivery of programs, and the individual roles of distributors and VOD undertakings in server ownership and in the design of the navigation systems.</w:t>
      </w:r>
    </w:p>
    <w:p>
      <w:pPr>
        <w:pStyle w:val="OHHpara"/>
        <w:ind w:start="720" w:end="720"/>
        <w:rPr/>
      </w:pPr>
      <w:r>
        <w:rPr>
          <w:rStyle w:val="Prompt"/>
        </w:rPr>
        <w:t>VOD will require, in most instances, digital distribution and a significant amount of bandwidth…</w:t>
      </w:r>
    </w:p>
    <w:p>
      <w:pPr>
        <w:pStyle w:val="OHHpara"/>
        <w:rPr>
          <w:rStyle w:val="Prompt"/>
        </w:rPr>
      </w:pPr>
      <w:r>
        <w:rPr>
          <w:rStyle w:val="Prompt"/>
          <w:u w:val="single"/>
        </w:rPr>
        <w:t>Licensing Framework</w:t>
      </w:r>
    </w:p>
    <w:p>
      <w:pPr>
        <w:pStyle w:val="OHHpara"/>
        <w:rPr/>
      </w:pPr>
      <w:r>
        <w:rPr>
          <w:rStyle w:val="Prompt"/>
        </w:rPr>
        <w:t xml:space="preserve">The Commission licenses VOD services on a competitive basis.  As such, their approach has been to </w:t>
      </w:r>
      <w:r>
        <w:rPr>
          <w:rStyle w:val="Prompt"/>
          <w:i/>
        </w:rPr>
        <w:t>not</w:t>
      </w:r>
      <w:r>
        <w:rPr>
          <w:rStyle w:val="Prompt"/>
        </w:rPr>
        <w:t xml:space="preserve"> authorize the operation of VOD services as regional or national monopolies – an approach which had historically been taken with respect to pay and pay-per-view services in order to foster the financial viability of those services.</w:t>
      </w:r>
    </w:p>
    <w:p>
      <w:pPr>
        <w:pStyle w:val="OHHpara"/>
        <w:rPr/>
      </w:pPr>
      <w:r>
        <w:rPr>
          <w:rStyle w:val="Prompt"/>
        </w:rPr>
        <w:t>BDUs are not required to distribute any VOD services.  Moreover, a BDU is not required to carry any unaffiliated VOD service even if it carries a VOD service in which it has an ownershiip interest.  With respect to the concern that BDUs will naturally favour their own BDU services to the exclusion of others, the only measure in place to address this is the general “undue preference” provision of the BDU Regulations (</w:t>
      </w:r>
      <w:r>
        <w:rPr>
          <w:rStyle w:val="Prompt"/>
          <w:b/>
        </w:rPr>
        <w:t>Appendix 2</w:t>
      </w:r>
      <w:r>
        <w:rPr>
          <w:rStyle w:val="Prompt"/>
        </w:rPr>
        <w:t>). This is dissimilar to a BDUs’ obligation to distribute (to the extent of available channel capacity) all licensed, analog specialty and pay services and all new Category 1 digital specialty services which will be licensed pursuant the current licensing proceeding for such services.</w:t>
      </w:r>
    </w:p>
    <w:p>
      <w:pPr>
        <w:pStyle w:val="OHHpara"/>
        <w:rPr/>
      </w:pPr>
      <w:r>
        <w:rPr>
          <w:rStyle w:val="Prompt"/>
          <w:u w:val="single"/>
        </w:rPr>
        <w:t>Key Regulatory Requirements for Licensed VOD Services</w:t>
      </w:r>
    </w:p>
    <w:p>
      <w:pPr>
        <w:pStyle w:val="OHHpara"/>
        <w:rPr/>
      </w:pPr>
      <w:r>
        <w:rPr>
          <w:rStyle w:val="Prompt"/>
        </w:rPr>
        <w:t xml:space="preserve">Licensed VOD undertakings are generally governed by the </w:t>
      </w:r>
      <w:r>
        <w:rPr>
          <w:rStyle w:val="Prompt"/>
          <w:i/>
        </w:rPr>
        <w:t>Pay Television Regulations, 1990</w:t>
      </w:r>
      <w:r>
        <w:rPr>
          <w:rStyle w:val="Prompt"/>
        </w:rPr>
        <w:t xml:space="preserve"> </w:t>
      </w:r>
      <w:r>
        <w:rPr>
          <w:rStyle w:val="Prompt"/>
          <w:b/>
        </w:rPr>
        <w:t xml:space="preserve">(Appendix 3) </w:t>
      </w:r>
      <w:r>
        <w:rPr>
          <w:rStyle w:val="Prompt"/>
        </w:rPr>
        <w:t xml:space="preserve">except to the extent that specific conditions of licence vary the requirements of those Regulations or the CRTC has otherwise granted relief from the regulations.  </w:t>
      </w:r>
    </w:p>
    <w:p>
      <w:pPr>
        <w:pStyle w:val="OHHpara"/>
        <w:ind w:end="720"/>
        <w:rPr/>
      </w:pPr>
      <w:r>
        <w:rPr>
          <w:rStyle w:val="Prompt"/>
        </w:rPr>
        <w:t xml:space="preserve">In addition, the ownership and governance structure of every licensed service (including a licensed VOD service) must comply with the </w:t>
      </w:r>
      <w:r>
        <w:rPr>
          <w:rStyle w:val="Prompt"/>
          <w:i/>
        </w:rPr>
        <w:t xml:space="preserve">Direction to the CRTC (Ineligibility of Non-Canadians) </w:t>
      </w:r>
      <w:r>
        <w:rPr>
          <w:rStyle w:val="Prompt"/>
        </w:rPr>
        <w:t xml:space="preserve">(the “Direction”, attached as </w:t>
      </w:r>
      <w:r>
        <w:rPr>
          <w:rStyle w:val="Prompt"/>
          <w:b/>
        </w:rPr>
        <w:t>Appendix 4</w:t>
      </w:r>
      <w:r>
        <w:rPr>
          <w:rStyle w:val="Prompt"/>
        </w:rPr>
        <w:t xml:space="preserve">), which sets out the limits on  permitted foreign ownership and control.  </w:t>
      </w:r>
    </w:p>
    <w:p>
      <w:pPr>
        <w:pStyle w:val="OHHpara"/>
        <w:ind w:end="720"/>
        <w:rPr/>
      </w:pPr>
      <w:r>
        <w:rPr>
          <w:rStyle w:val="Prompt"/>
        </w:rPr>
        <w:t>The Direction is a complex direction by the federal Cabinet to the CRTC, compliance with which must be assessed carefully in the context of any proposed non-Canadian investment in a Canadian broadcasting undertaking.  Among the most fundamental requirements of the Direction are that:</w:t>
      </w:r>
    </w:p>
    <w:p>
      <w:pPr>
        <w:pStyle w:val="OHHpara"/>
        <w:numPr>
          <w:ilvl w:val="0"/>
          <w:numId w:val="2"/>
        </w:numPr>
        <w:tabs>
          <w:tab w:val="clear" w:pos="720"/>
          <w:tab w:val="left" w:pos="1170" w:leader="none"/>
        </w:tabs>
        <w:ind w:hanging="360" w:start="1170" w:end="720"/>
        <w:rPr>
          <w:rStyle w:val="Prompt"/>
        </w:rPr>
      </w:pPr>
      <w:r>
        <w:rPr>
          <w:rStyle w:val="Prompt"/>
        </w:rPr>
        <w:t>a licensed broadcasting undertaking may not be subject to non-Canadian control;</w:t>
      </w:r>
    </w:p>
    <w:p>
      <w:pPr>
        <w:pStyle w:val="OHHpara"/>
        <w:numPr>
          <w:ilvl w:val="0"/>
          <w:numId w:val="2"/>
        </w:numPr>
        <w:tabs>
          <w:tab w:val="clear" w:pos="720"/>
          <w:tab w:val="left" w:pos="1170" w:leader="none"/>
        </w:tabs>
        <w:ind w:hanging="360" w:start="1170" w:end="720"/>
        <w:rPr>
          <w:rStyle w:val="Prompt"/>
        </w:rPr>
      </w:pPr>
      <w:r>
        <w:rPr>
          <w:rStyle w:val="Prompt"/>
        </w:rPr>
        <w:t>a licensed broadcasting undertaking may have no more than 20% of its voting shares and votes held by non-Canadians; and</w:t>
      </w:r>
    </w:p>
    <w:p>
      <w:pPr>
        <w:pStyle w:val="OHHpara"/>
        <w:numPr>
          <w:ilvl w:val="0"/>
          <w:numId w:val="2"/>
        </w:numPr>
        <w:tabs>
          <w:tab w:val="clear" w:pos="720"/>
          <w:tab w:val="left" w:pos="1170" w:leader="none"/>
        </w:tabs>
        <w:ind w:hanging="360" w:start="1170" w:end="720"/>
        <w:rPr>
          <w:rStyle w:val="Prompt"/>
        </w:rPr>
      </w:pPr>
      <w:r>
        <w:rPr>
          <w:rStyle w:val="Prompt"/>
        </w:rPr>
        <w:t>if a licensed broadcasting undertaking which otherwise satisfies the Direction is a subsidiary corporation, up to 33 1/3% of the voting shares and votes in its parent company may be held by non-Canadians.</w:t>
      </w:r>
    </w:p>
    <w:p>
      <w:pPr>
        <w:pStyle w:val="OHHpara"/>
        <w:ind w:end="720"/>
        <w:rPr/>
      </w:pPr>
      <w:r>
        <w:rPr>
          <w:rStyle w:val="Prompt"/>
        </w:rPr>
        <w:t>As noted above, exempt experimental VOD undertakings are also subject to the Direction, although they are not licensed.</w:t>
      </w:r>
    </w:p>
    <w:p>
      <w:pPr>
        <w:pStyle w:val="OHHpara"/>
        <w:rPr/>
      </w:pPr>
      <w:r>
        <w:rPr>
          <w:rStyle w:val="Prompt"/>
        </w:rPr>
        <w:t xml:space="preserve">The following list highlights some of the key regulatory requirements for VOD services licensed  in 1997, the last VOD licensing round.  In the Public Notice announcing the licensing (Public Notice CRTC 1997-83, </w:t>
      </w:r>
      <w:r>
        <w:rPr>
          <w:rStyle w:val="Prompt"/>
          <w:b/>
        </w:rPr>
        <w:t>Appendix 5</w:t>
      </w:r>
      <w:r>
        <w:rPr>
          <w:rStyle w:val="Prompt"/>
        </w:rPr>
        <w:t>), the CRTC referred to these requirements under the heading “Licensing Framework”, suggesting thereby that the rules articulated were of general application with respect to VOD applications.  As such, subject to considerations arising from more recent pronouncements of the CRTC with respect to VOD licensing (discussed below), there is a strong possibility that the same requirements may be imposed upon any new VOD licensee:</w:t>
      </w:r>
    </w:p>
    <w:p>
      <w:pPr>
        <w:pStyle w:val="OHHpara"/>
        <w:numPr>
          <w:ilvl w:val="0"/>
          <w:numId w:val="3"/>
        </w:numPr>
        <w:tabs>
          <w:tab w:val="clear" w:pos="720"/>
          <w:tab w:val="left" w:pos="1080" w:leader="none"/>
        </w:tabs>
        <w:ind w:hanging="360" w:start="1080" w:end="720"/>
        <w:rPr>
          <w:rStyle w:val="Prompt"/>
        </w:rPr>
      </w:pPr>
      <w:r>
        <w:rPr>
          <w:rStyle w:val="Prompt"/>
        </w:rPr>
        <w:t xml:space="preserve">The service may </w:t>
      </w:r>
      <w:r>
        <w:rPr>
          <w:rStyle w:val="Prompt"/>
          <w:i/>
        </w:rPr>
        <w:t>not</w:t>
      </w:r>
      <w:r>
        <w:rPr>
          <w:rStyle w:val="Prompt"/>
        </w:rPr>
        <w:t xml:space="preserve"> offer live event programming (which is conceptually inconsistent with the concept of an “on demand” service), but </w:t>
      </w:r>
      <w:r>
        <w:rPr>
          <w:rStyle w:val="Prompt"/>
          <w:i/>
        </w:rPr>
        <w:t xml:space="preserve">may </w:t>
      </w:r>
      <w:r>
        <w:rPr>
          <w:rStyle w:val="Prompt"/>
        </w:rPr>
        <w:t xml:space="preserve">exhibit all categories of programming set out in Schedule 1 of </w:t>
      </w:r>
      <w:r>
        <w:rPr>
          <w:rStyle w:val="Prompt"/>
          <w:i/>
        </w:rPr>
        <w:t>the Pay Television Regulations, 1990</w:t>
      </w:r>
      <w:r>
        <w:rPr>
          <w:rStyle w:val="Prompt"/>
        </w:rPr>
        <w:t>.</w:t>
      </w:r>
    </w:p>
    <w:p>
      <w:pPr>
        <w:pStyle w:val="OHHpara"/>
        <w:numPr>
          <w:ilvl w:val="0"/>
          <w:numId w:val="3"/>
        </w:numPr>
        <w:tabs>
          <w:tab w:val="clear" w:pos="720"/>
          <w:tab w:val="left" w:pos="1080" w:leader="none"/>
        </w:tabs>
        <w:ind w:hanging="360" w:start="1080" w:end="720"/>
        <w:rPr>
          <w:rStyle w:val="Prompt"/>
        </w:rPr>
      </w:pPr>
      <w:r>
        <w:rPr>
          <w:rStyle w:val="Prompt"/>
        </w:rPr>
        <w:t xml:space="preserve">The service may </w:t>
      </w:r>
      <w:r>
        <w:rPr>
          <w:rStyle w:val="Prompt"/>
          <w:i/>
        </w:rPr>
        <w:t>not</w:t>
      </w:r>
      <w:r>
        <w:rPr>
          <w:rStyle w:val="Prompt"/>
        </w:rPr>
        <w:t xml:space="preserve"> exhibit advertising material, including infomercials.</w:t>
      </w:r>
    </w:p>
    <w:p>
      <w:pPr>
        <w:pStyle w:val="OHHpara"/>
        <w:numPr>
          <w:ilvl w:val="0"/>
          <w:numId w:val="3"/>
        </w:numPr>
        <w:tabs>
          <w:tab w:val="clear" w:pos="720"/>
          <w:tab w:val="left" w:pos="1080" w:leader="none"/>
        </w:tabs>
        <w:ind w:hanging="360" w:start="1080" w:end="720"/>
        <w:rPr>
          <w:rStyle w:val="Prompt"/>
        </w:rPr>
      </w:pPr>
      <w:r>
        <w:rPr>
          <w:rStyle w:val="Prompt"/>
        </w:rPr>
        <w:t>English-language and bilingual services will be required, by condition of licence, to provide on their video servers, at all times:</w:t>
      </w:r>
    </w:p>
    <w:p>
      <w:pPr>
        <w:pStyle w:val="OHHpara"/>
        <w:numPr>
          <w:ilvl w:val="0"/>
          <w:numId w:val="1"/>
        </w:numPr>
        <w:tabs>
          <w:tab w:val="clear" w:pos="720"/>
          <w:tab w:val="left" w:pos="1800" w:leader="none"/>
        </w:tabs>
        <w:ind w:hanging="360" w:start="1800" w:end="720"/>
        <w:rPr>
          <w:rStyle w:val="Prompt"/>
        </w:rPr>
      </w:pPr>
      <w:r>
        <w:rPr>
          <w:rStyle w:val="Prompt"/>
        </w:rPr>
        <w:t>a minimum ratio of 1:20 Canadian to non-Canadian feature film titles;</w:t>
      </w:r>
    </w:p>
    <w:p>
      <w:pPr>
        <w:pStyle w:val="OHHpara"/>
        <w:numPr>
          <w:ilvl w:val="0"/>
          <w:numId w:val="1"/>
        </w:numPr>
        <w:tabs>
          <w:tab w:val="clear" w:pos="720"/>
          <w:tab w:val="left" w:pos="1800" w:leader="none"/>
        </w:tabs>
        <w:ind w:hanging="360" w:start="1800" w:end="720"/>
        <w:rPr>
          <w:rStyle w:val="Prompt"/>
        </w:rPr>
      </w:pPr>
      <w:r>
        <w:rPr>
          <w:rStyle w:val="Prompt"/>
        </w:rPr>
        <w:t xml:space="preserve">all available new Canadian feature films that are suitable for VOD exhibition and that meet the </w:t>
      </w:r>
      <w:r>
        <w:rPr>
          <w:rStyle w:val="Prompt"/>
          <w:i/>
        </w:rPr>
        <w:t>Pay Television Programming Standards and Practices Code</w:t>
      </w:r>
      <w:r>
        <w:rPr>
          <w:rStyle w:val="Prompt"/>
        </w:rPr>
        <w:t>; and</w:t>
      </w:r>
    </w:p>
    <w:p>
      <w:pPr>
        <w:pStyle w:val="OHHpara"/>
        <w:numPr>
          <w:ilvl w:val="0"/>
          <w:numId w:val="1"/>
        </w:numPr>
        <w:tabs>
          <w:tab w:val="clear" w:pos="720"/>
          <w:tab w:val="left" w:pos="1800" w:leader="none"/>
        </w:tabs>
        <w:ind w:hanging="360" w:start="1800" w:end="720"/>
        <w:rPr>
          <w:rStyle w:val="Prompt"/>
        </w:rPr>
      </w:pPr>
      <w:r>
        <w:rPr>
          <w:rStyle w:val="Prompt"/>
        </w:rPr>
        <w:t>a minimum ratio of 1:10 Canadian to non-Canadian non-theatrical titles.</w:t>
      </w:r>
    </w:p>
    <w:p>
      <w:pPr>
        <w:pStyle w:val="OHHpara"/>
        <w:numPr>
          <w:ilvl w:val="0"/>
          <w:numId w:val="3"/>
        </w:numPr>
        <w:tabs>
          <w:tab w:val="clear" w:pos="720"/>
          <w:tab w:val="left" w:pos="1080" w:leader="none"/>
        </w:tabs>
        <w:ind w:hanging="360" w:start="1080" w:end="720"/>
        <w:rPr>
          <w:rStyle w:val="Prompt"/>
        </w:rPr>
      </w:pPr>
      <w:r>
        <w:rPr>
          <w:rStyle w:val="Prompt"/>
        </w:rPr>
        <w:t>French-language services (to the extent that a specific model adopted for Canal Indigo is broadly applied to any additional French-language VOD services) will be required, by condition of licence, to provide on their video servers, at all times:</w:t>
      </w:r>
    </w:p>
    <w:p>
      <w:pPr>
        <w:pStyle w:val="OHHpara"/>
        <w:numPr>
          <w:ilvl w:val="0"/>
          <w:numId w:val="4"/>
        </w:numPr>
        <w:tabs>
          <w:tab w:val="clear" w:pos="720"/>
          <w:tab w:val="left" w:pos="1800" w:leader="none"/>
        </w:tabs>
        <w:ind w:hanging="360" w:start="1800" w:end="720"/>
        <w:rPr>
          <w:rStyle w:val="Prompt"/>
        </w:rPr>
      </w:pPr>
      <w:r>
        <w:rPr>
          <w:rStyle w:val="Prompt"/>
        </w:rPr>
        <w:t>a minimum 1:12 ratio of Canadian to non-Canadian feature films;</w:t>
      </w:r>
    </w:p>
    <w:p>
      <w:pPr>
        <w:pStyle w:val="OHHpara"/>
        <w:numPr>
          <w:ilvl w:val="0"/>
          <w:numId w:val="4"/>
        </w:numPr>
        <w:tabs>
          <w:tab w:val="clear" w:pos="720"/>
          <w:tab w:val="left" w:pos="1800" w:leader="none"/>
        </w:tabs>
        <w:ind w:hanging="360" w:start="1800" w:end="720"/>
        <w:rPr>
          <w:rStyle w:val="Prompt"/>
        </w:rPr>
      </w:pPr>
      <w:r>
        <w:rPr>
          <w:rStyle w:val="Prompt"/>
        </w:rPr>
        <w:t xml:space="preserve">all available new Canadian feature films that are suitable for VOD exhibition and that meet the </w:t>
      </w:r>
      <w:r>
        <w:rPr>
          <w:rStyle w:val="Prompt"/>
          <w:i/>
        </w:rPr>
        <w:t>Pay Television Standards and Practices Code</w:t>
      </w:r>
      <w:r>
        <w:rPr>
          <w:rStyle w:val="Prompt"/>
        </w:rPr>
        <w:t>; and</w:t>
      </w:r>
    </w:p>
    <w:p>
      <w:pPr>
        <w:pStyle w:val="OHHpara"/>
        <w:numPr>
          <w:ilvl w:val="0"/>
          <w:numId w:val="4"/>
        </w:numPr>
        <w:tabs>
          <w:tab w:val="clear" w:pos="720"/>
          <w:tab w:val="left" w:pos="1800" w:leader="none"/>
        </w:tabs>
        <w:ind w:hanging="360" w:start="1800" w:end="720"/>
        <w:rPr>
          <w:rStyle w:val="Prompt"/>
        </w:rPr>
      </w:pPr>
      <w:r>
        <w:rPr>
          <w:rStyle w:val="Prompt"/>
        </w:rPr>
        <w:t>a minimum 1:10 ratio of Canadian to non-Canadian titles overall.</w:t>
      </w:r>
    </w:p>
    <w:p>
      <w:pPr>
        <w:pStyle w:val="OHHpara"/>
        <w:numPr>
          <w:ilvl w:val="0"/>
          <w:numId w:val="3"/>
        </w:numPr>
        <w:tabs>
          <w:tab w:val="clear" w:pos="720"/>
          <w:tab w:val="left" w:pos="1080" w:leader="none"/>
        </w:tabs>
        <w:ind w:hanging="360" w:start="1080" w:end="720"/>
        <w:rPr>
          <w:rStyle w:val="Prompt"/>
        </w:rPr>
      </w:pPr>
      <w:r>
        <w:rPr>
          <w:rStyle w:val="Prompt"/>
        </w:rPr>
        <w:t>Each VOD licensee will be required, by condition of licence, to contribute a minimum of 5% of the annual gross revenues earned to an existing, independently-administered Canadian program production fund.</w:t>
      </w:r>
    </w:p>
    <w:p>
      <w:pPr>
        <w:pStyle w:val="OHHpara"/>
        <w:numPr>
          <w:ilvl w:val="0"/>
          <w:numId w:val="3"/>
        </w:numPr>
        <w:tabs>
          <w:tab w:val="clear" w:pos="720"/>
          <w:tab w:val="left" w:pos="1080" w:leader="none"/>
        </w:tabs>
        <w:ind w:hanging="360" w:start="1080" w:end="720"/>
        <w:rPr>
          <w:rStyle w:val="Prompt"/>
        </w:rPr>
      </w:pPr>
      <w:r>
        <w:rPr>
          <w:rStyle w:val="Prompt"/>
        </w:rPr>
        <w:t>Each VOD licensee will be required, by condition of licence, to remit to the rights holders of all Canadian films 100% of revenues earned from the exhibition of these films.</w:t>
      </w:r>
    </w:p>
    <w:p>
      <w:pPr>
        <w:pStyle w:val="OHHpara"/>
        <w:numPr>
          <w:ilvl w:val="0"/>
          <w:numId w:val="3"/>
        </w:numPr>
        <w:tabs>
          <w:tab w:val="clear" w:pos="720"/>
          <w:tab w:val="left" w:pos="1080" w:leader="none"/>
        </w:tabs>
        <w:ind w:hanging="360" w:start="1080" w:end="720"/>
        <w:rPr>
          <w:rStyle w:val="Prompt"/>
        </w:rPr>
      </w:pPr>
      <w:r>
        <w:rPr>
          <w:rStyle w:val="Prompt"/>
        </w:rPr>
        <w:t>Each VOD licensee must ensure that the treatment given to all Canadian titles in their navigation systems is, at a minimum, equal to that given to comparable foreign product.</w:t>
      </w:r>
    </w:p>
    <w:p>
      <w:pPr>
        <w:pStyle w:val="OHHpara"/>
        <w:numPr>
          <w:ilvl w:val="0"/>
          <w:numId w:val="3"/>
        </w:numPr>
        <w:tabs>
          <w:tab w:val="clear" w:pos="720"/>
          <w:tab w:val="left" w:pos="1080" w:leader="none"/>
        </w:tabs>
        <w:ind w:hanging="360" w:start="1080" w:end="720"/>
        <w:rPr>
          <w:rStyle w:val="Prompt"/>
        </w:rPr>
      </w:pPr>
      <w:r>
        <w:rPr>
          <w:rStyle w:val="Prompt"/>
        </w:rPr>
        <w:t>Each VOD licensee must, by condition of licence, ensure that a minimum of 25% of the titles promoted on its barker channels are Canadian.</w:t>
      </w:r>
    </w:p>
    <w:p>
      <w:pPr>
        <w:pStyle w:val="OHHpara"/>
        <w:numPr>
          <w:ilvl w:val="0"/>
          <w:numId w:val="3"/>
        </w:numPr>
        <w:tabs>
          <w:tab w:val="clear" w:pos="720"/>
          <w:tab w:val="left" w:pos="1080" w:leader="none"/>
        </w:tabs>
        <w:ind w:hanging="360" w:start="1080" w:end="720"/>
        <w:rPr>
          <w:rStyle w:val="Prompt"/>
        </w:rPr>
      </w:pPr>
      <w:r>
        <w:rPr>
          <w:rStyle w:val="Prompt"/>
        </w:rPr>
        <w:t>Each VOD licensee must purchase non-proprietary exhibition rights from Canadian distributors.</w:t>
      </w:r>
    </w:p>
    <w:p>
      <w:pPr>
        <w:pStyle w:val="OHHpara"/>
        <w:numPr>
          <w:ilvl w:val="0"/>
          <w:numId w:val="3"/>
        </w:numPr>
        <w:tabs>
          <w:tab w:val="clear" w:pos="720"/>
          <w:tab w:val="left" w:pos="1080" w:leader="none"/>
        </w:tabs>
        <w:ind w:hanging="360" w:start="1080" w:end="720"/>
        <w:rPr>
          <w:rStyle w:val="Prompt"/>
        </w:rPr>
      </w:pPr>
      <w:r>
        <w:rPr>
          <w:rStyle w:val="Prompt"/>
        </w:rPr>
        <w:t>VOD undertakings are prohibited, by condition of licence, from acquiring exclusive or preferential rights to any programming exhibited as part of their services.</w:t>
      </w:r>
    </w:p>
    <w:p>
      <w:pPr>
        <w:pStyle w:val="OHHpara"/>
        <w:numPr>
          <w:ilvl w:val="0"/>
          <w:numId w:val="3"/>
        </w:numPr>
        <w:tabs>
          <w:tab w:val="clear" w:pos="720"/>
          <w:tab w:val="left" w:pos="1080" w:leader="none"/>
        </w:tabs>
        <w:ind w:hanging="360" w:start="1080" w:end="720"/>
        <w:rPr>
          <w:rStyle w:val="Prompt"/>
        </w:rPr>
      </w:pPr>
      <w:r>
        <w:rPr>
          <w:rStyle w:val="Prompt"/>
        </w:rPr>
        <w:t>VOD undertakings, because they do not schedule their programming, cannot conduct logging in the traditional sense.  As a result, they are required instead by condition of licence to maintain a database of all titles on their video servers, including the country of origin, the category of program and the period of time each title was stored on the server and made available to subscribers.  This information shall be retained for 12 months and submitted to the Commission upon request.</w:t>
      </w:r>
    </w:p>
    <w:p>
      <w:pPr>
        <w:pStyle w:val="OHHpara"/>
        <w:ind w:end="720"/>
        <w:rPr>
          <w:rStyle w:val="Prompt"/>
        </w:rPr>
      </w:pPr>
      <w:r>
        <w:rPr>
          <w:rStyle w:val="Prompt"/>
          <w:u w:val="single"/>
        </w:rPr>
        <w:t>Recent Developments re VOD</w:t>
      </w:r>
    </w:p>
    <w:p>
      <w:pPr>
        <w:pStyle w:val="OHHpara"/>
        <w:ind w:end="720"/>
        <w:rPr/>
      </w:pPr>
      <w:r>
        <w:rPr>
          <w:rStyle w:val="Prompt"/>
        </w:rPr>
        <w:t xml:space="preserve">In January, 2000, the CRTC announced a “licensing framework policy for new digital pay and specialty services” (Public Notice CRTC 2000-6).  The new framework policy did not generally address the VOD licensing framework, but noted that new VOD services would not be provided with any carriage guarantees.  </w:t>
      </w:r>
    </w:p>
    <w:p>
      <w:pPr>
        <w:pStyle w:val="OHHpara"/>
        <w:ind w:end="720"/>
        <w:rPr/>
      </w:pPr>
      <w:r>
        <w:rPr>
          <w:rStyle w:val="Prompt"/>
        </w:rPr>
        <w:t xml:space="preserve">In May, 2000, the Commission announced that it would conduct a public hearing to license new digital specialty and pay television stations, and that it would consider applications that had been filed for new VOD services in the same proceeding (CRTC Notice of Public Hearing 2000-5).  </w:t>
      </w:r>
    </w:p>
    <w:p>
      <w:pPr>
        <w:pStyle w:val="OHHpara"/>
        <w:ind w:end="720"/>
        <w:rPr/>
      </w:pPr>
      <w:r>
        <w:rPr>
          <w:rStyle w:val="Prompt"/>
        </w:rPr>
        <w:t>In the context of that pronouncement, the CRTC indicated that it would reconsider certain VOD licensing requirements in view of the fact that in a digital world, customers will be able to choose between different types of services with no technological barriers. The Commission thereby seemed to imply that whereas regulatory requirements that were somewhat lighter than those of other categories might have been appropriate when a subscriber had to go to the lengths of getting a special decoder box to obtain VOD, inconsistent requirements may not be appropriate where various service categories were available on one platform.</w:t>
      </w:r>
    </w:p>
    <w:p>
      <w:pPr>
        <w:pStyle w:val="OHHpara"/>
        <w:ind w:end="720"/>
        <w:rPr/>
      </w:pPr>
      <w:r>
        <w:rPr>
          <w:rStyle w:val="Prompt"/>
        </w:rPr>
        <w:t>As such, in the recent public hearing which concerned licensing of new digital VOD services, the CRTC’s questions of applicants included exploration of the following matters:</w:t>
      </w:r>
    </w:p>
    <w:p>
      <w:pPr>
        <w:pStyle w:val="OHHpara"/>
        <w:numPr>
          <w:ilvl w:val="0"/>
          <w:numId w:val="5"/>
        </w:numPr>
        <w:tabs>
          <w:tab w:val="clear" w:pos="720"/>
          <w:tab w:val="left" w:pos="1080" w:leader="none"/>
        </w:tabs>
        <w:ind w:hanging="360" w:start="1080" w:end="720"/>
        <w:rPr>
          <w:rStyle w:val="Prompt"/>
        </w:rPr>
      </w:pPr>
      <w:r>
        <w:rPr>
          <w:rStyle w:val="Prompt"/>
        </w:rPr>
        <w:t>should VOD services be permitted or required to sell programs in packages (e.g. pay-per-month, pay-per-season and pay-per-bundle)?</w:t>
      </w:r>
    </w:p>
    <w:p>
      <w:pPr>
        <w:pStyle w:val="OHHpara"/>
        <w:numPr>
          <w:ilvl w:val="0"/>
          <w:numId w:val="5"/>
        </w:numPr>
        <w:tabs>
          <w:tab w:val="clear" w:pos="720"/>
          <w:tab w:val="left" w:pos="1080" w:leader="none"/>
        </w:tabs>
        <w:ind w:hanging="360" w:start="1080" w:end="720"/>
        <w:rPr>
          <w:rStyle w:val="Prompt"/>
        </w:rPr>
      </w:pPr>
      <w:r>
        <w:rPr>
          <w:rStyle w:val="Prompt"/>
        </w:rPr>
        <w:t xml:space="preserve">should the Commission continue to encourage experimentation by VOD services in </w:t>
      </w:r>
      <w:r>
        <w:rPr>
          <w:rStyle w:val="Prompt"/>
          <w:i/>
        </w:rPr>
        <w:t>all</w:t>
      </w:r>
      <w:r>
        <w:rPr>
          <w:rStyle w:val="Prompt"/>
        </w:rPr>
        <w:t xml:space="preserve"> program genres (which is incented by VOD services’ ability to exhibit programming from any programming category set out in Schedule 1 of the </w:t>
      </w:r>
      <w:r>
        <w:rPr>
          <w:rStyle w:val="Prompt"/>
          <w:i/>
        </w:rPr>
        <w:t>Pay Television Regulations, 1990</w:t>
      </w:r>
      <w:r>
        <w:rPr>
          <w:rStyle w:val="Prompt"/>
        </w:rPr>
        <w:t>)?</w:t>
      </w:r>
    </w:p>
    <w:p>
      <w:pPr>
        <w:pStyle w:val="OHHpara"/>
        <w:numPr>
          <w:ilvl w:val="0"/>
          <w:numId w:val="5"/>
        </w:numPr>
        <w:tabs>
          <w:tab w:val="clear" w:pos="720"/>
          <w:tab w:val="left" w:pos="1080" w:leader="none"/>
        </w:tabs>
        <w:ind w:hanging="360" w:start="1080" w:end="720"/>
        <w:rPr>
          <w:rStyle w:val="Prompt"/>
        </w:rPr>
      </w:pPr>
      <w:r>
        <w:rPr>
          <w:rStyle w:val="Prompt"/>
        </w:rPr>
        <w:t>should VODs be required to devote a certain percentage of their programs to non-feature film content?</w:t>
      </w:r>
    </w:p>
    <w:p>
      <w:pPr>
        <w:pStyle w:val="OHHpara"/>
        <w:numPr>
          <w:ilvl w:val="0"/>
          <w:numId w:val="5"/>
        </w:numPr>
        <w:tabs>
          <w:tab w:val="clear" w:pos="720"/>
          <w:tab w:val="left" w:pos="1080" w:leader="none"/>
        </w:tabs>
        <w:ind w:hanging="360" w:start="1080" w:end="720"/>
        <w:rPr>
          <w:rStyle w:val="Prompt"/>
        </w:rPr>
      </w:pPr>
      <w:r>
        <w:rPr>
          <w:rStyle w:val="Prompt"/>
        </w:rPr>
        <w:t>should the CRTC impose higher Canadian content requirements for feature films and what should Canadian content requirements be with respect to non-feature film content?</w:t>
      </w:r>
    </w:p>
    <w:p>
      <w:pPr>
        <w:pStyle w:val="OHHpara"/>
        <w:numPr>
          <w:ilvl w:val="0"/>
          <w:numId w:val="5"/>
        </w:numPr>
        <w:tabs>
          <w:tab w:val="clear" w:pos="720"/>
          <w:tab w:val="left" w:pos="1080" w:leader="none"/>
        </w:tabs>
        <w:ind w:hanging="360" w:start="1080" w:end="720"/>
        <w:rPr>
          <w:rStyle w:val="Prompt"/>
        </w:rPr>
      </w:pPr>
      <w:r>
        <w:rPr>
          <w:rStyle w:val="Prompt"/>
        </w:rPr>
        <w:t>what is the appropriate contribution level which should be required of VOD undertakings in support of Canadian program production?</w:t>
      </w:r>
    </w:p>
    <w:p>
      <w:pPr>
        <w:pStyle w:val="OHHpara"/>
        <w:numPr>
          <w:ilvl w:val="0"/>
          <w:numId w:val="5"/>
        </w:numPr>
        <w:tabs>
          <w:tab w:val="clear" w:pos="720"/>
          <w:tab w:val="left" w:pos="1080" w:leader="none"/>
        </w:tabs>
        <w:ind w:hanging="360" w:start="1080" w:end="720"/>
        <w:rPr>
          <w:rStyle w:val="Prompt"/>
        </w:rPr>
      </w:pPr>
      <w:r>
        <w:rPr>
          <w:rStyle w:val="Prompt"/>
        </w:rPr>
        <w:t>what French-language versioning commitments should be required of English-language VOD undertakings?</w:t>
      </w:r>
    </w:p>
    <w:p>
      <w:pPr>
        <w:pStyle w:val="OHHpara"/>
        <w:ind w:end="720"/>
        <w:rPr/>
      </w:pPr>
      <w:r>
        <w:rPr>
          <w:rStyle w:val="Prompt"/>
        </w:rPr>
        <w:t>The CRTC drew no conclusions with respect to these matters at the hearing.  To the extent that new VOD licensing requirements will be introduced pursuant to the recent hearing, these will become clear when decisions are published – likely by the end of 2000 or early 2001.</w:t>
      </w:r>
    </w:p>
    <w:p>
      <w:pPr>
        <w:pStyle w:val="OHHpara"/>
        <w:ind w:end="720"/>
        <w:rPr/>
      </w:pPr>
      <w:r>
        <w:rPr>
          <w:rStyle w:val="Prompt"/>
          <w:b/>
          <w:u w:val="single"/>
        </w:rPr>
        <w:t>VOD Services Delivered Over the Internet</w:t>
      </w:r>
    </w:p>
    <w:p>
      <w:pPr>
        <w:pStyle w:val="OHHpara"/>
        <w:ind w:end="720"/>
        <w:rPr/>
      </w:pPr>
      <w:r>
        <w:rPr>
          <w:rStyle w:val="Prompt"/>
        </w:rPr>
        <w:t>The Commission does not require that new media broadcasting undertakings be licensed.  This is because the Commission determined in its Report on New Media (Broadcasting Public Notice CRTC 1999-84/Telecom Public Notice CRTC 99-14) that licensing new media broadcasting undertakings would not contribute in a material manner to the implementation of the broadcasting policy for Canada.  In addition, the Commission stated that:</w:t>
      </w:r>
    </w:p>
    <w:p>
      <w:pPr>
        <w:pStyle w:val="OHHLR"/>
        <w:rPr/>
      </w:pPr>
      <w:r>
        <w:rPr>
          <w:rStyle w:val="Prompt"/>
        </w:rPr>
        <w:t>. . . to impose licensing on new media would not contribute in any way to its development or to the benefits it has brought to Canadian users, consumers and businesses.</w:t>
      </w:r>
    </w:p>
    <w:p>
      <w:pPr>
        <w:pStyle w:val="OHHpara"/>
        <w:ind w:end="720"/>
        <w:rPr/>
      </w:pPr>
      <w:r>
        <w:rPr>
          <w:rStyle w:val="Prompt"/>
          <w:u w:val="single"/>
        </w:rPr>
        <w:t>The New Media Exemption Order</w:t>
      </w:r>
    </w:p>
    <w:p>
      <w:pPr>
        <w:pStyle w:val="OHHpara"/>
        <w:ind w:end="720"/>
        <w:rPr/>
      </w:pPr>
      <w:r>
        <w:rPr>
          <w:rStyle w:val="Prompt"/>
        </w:rPr>
        <w:t xml:space="preserve">Following the expression of its new media policy in the Report on New Media, the Commission issued an exemption order for all new media broadcasting undertakings (Public Notice CRTC 1999-197 – </w:t>
      </w:r>
      <w:r>
        <w:rPr>
          <w:rStyle w:val="Prompt"/>
          <w:b/>
        </w:rPr>
        <w:t>Appendix 6</w:t>
      </w:r>
      <w:r>
        <w:rPr>
          <w:rStyle w:val="Prompt"/>
        </w:rPr>
        <w:t>).  The text of this exemption order reads:</w:t>
      </w:r>
    </w:p>
    <w:p>
      <w:pPr>
        <w:pStyle w:val="OHHLR"/>
        <w:rPr/>
      </w:pPr>
      <w:r>
        <w:rPr>
          <w:rStyle w:val="Prompt"/>
        </w:rPr>
        <w:t xml:space="preserve">The Commission is satisfied that compliance with Part II of the </w:t>
      </w:r>
      <w:r>
        <w:rPr>
          <w:rStyle w:val="Prompt"/>
          <w:i/>
        </w:rPr>
        <w:t>Broadcasting Act</w:t>
      </w:r>
      <w:r>
        <w:rPr>
          <w:rStyle w:val="Prompt"/>
        </w:rPr>
        <w:t xml:space="preserve"> (the “Act”) and applicable regulations made thereunder by the class of broadcasting undertakings described below will not contribute in a material manner to the implementation of the broadcasting policy set out in subsection 3(1) of the </w:t>
      </w:r>
      <w:r>
        <w:rPr>
          <w:rStyle w:val="Prompt"/>
          <w:i/>
        </w:rPr>
        <w:t>Act</w:t>
      </w:r>
      <w:r>
        <w:rPr>
          <w:rStyle w:val="Prompt"/>
        </w:rPr>
        <w:t>.</w:t>
      </w:r>
    </w:p>
    <w:p>
      <w:pPr>
        <w:pStyle w:val="OHHLR"/>
        <w:rPr/>
      </w:pPr>
      <w:r>
        <w:rPr>
          <w:rStyle w:val="Prompt"/>
        </w:rPr>
        <w:t xml:space="preserve">Therefore, pursuant to subsection 9(4) of the </w:t>
      </w:r>
      <w:r>
        <w:rPr>
          <w:rStyle w:val="Prompt"/>
          <w:i/>
        </w:rPr>
        <w:t>Act</w:t>
      </w:r>
      <w:r>
        <w:rPr>
          <w:rStyle w:val="Prompt"/>
        </w:rPr>
        <w:t xml:space="preserve">, the Commission exempts persons who carry on, in whole or in part in Canada, broadcasting undertakings of the class consisting of new media broadcasting undertakings, from any or all of the requirements of Part II of the </w:t>
      </w:r>
      <w:r>
        <w:rPr>
          <w:rStyle w:val="Prompt"/>
          <w:i/>
        </w:rPr>
        <w:t>Act</w:t>
      </w:r>
      <w:r>
        <w:rPr>
          <w:rStyle w:val="Prompt"/>
        </w:rPr>
        <w:t xml:space="preserve"> or of a regulation thereunder.  New media broadcasting undertakings provide broadcasting services delivered and accessed over the Internet, in accordance with the interpretation of “broadcasting” set out in Telecom Public Notice 99-14/Broadcasting Public Notice CRTC 1999-84, Report on New Media, 17 May 1999.</w:t>
      </w:r>
    </w:p>
    <w:p>
      <w:pPr>
        <w:pStyle w:val="OHHpara"/>
        <w:ind w:end="720"/>
        <w:rPr/>
      </w:pPr>
      <w:r>
        <w:rPr>
          <w:rStyle w:val="Prompt"/>
        </w:rPr>
        <w:t>The Commission clearly states, in its Report on New Media, that on-demand delivery is included in the interpretation of the definition of “broadcasting” (Telecom Public Notice 99-14/Broadcasting Public Notice CRTC 1999-84, para. 39).  Pursuant to the exemption order, a VOD service delivered over the Internet would not appear to require a CRTC licence.</w:t>
      </w:r>
    </w:p>
    <w:p>
      <w:pPr>
        <w:pStyle w:val="OHHpara"/>
        <w:ind w:end="720"/>
        <w:rPr/>
      </w:pPr>
      <w:r>
        <w:rPr>
          <w:rStyle w:val="Prompt"/>
          <w:u w:val="single"/>
        </w:rPr>
        <w:t>What Constitutes the Internet?</w:t>
      </w:r>
    </w:p>
    <w:p>
      <w:pPr>
        <w:pStyle w:val="OHHpara"/>
        <w:ind w:end="720"/>
        <w:rPr/>
      </w:pPr>
      <w:r>
        <w:rPr>
          <w:rStyle w:val="Prompt"/>
        </w:rPr>
        <w:t>The only definition the Commission has ever provided for the Internet is a very lengthy one and is contained in the glossary appended to its Report on New Media.  It reads:</w:t>
      </w:r>
    </w:p>
    <w:p>
      <w:pPr>
        <w:pStyle w:val="OHHLR"/>
        <w:rPr/>
      </w:pPr>
      <w:r>
        <w:rPr>
          <w:rStyle w:val="Prompt"/>
        </w:rPr>
        <w:t>The Internet is a distribution system that is capable of handling a wide variety of data (text, pictures and sound) in any number of formats.  In order to move through the Internet, however, data and requests for data made by users must adhere to sets of rules called “protocols”.  The Internet is a distributed, inter-operable, packet-switched network which predominantly uses the TCP/IP protocol.</w:t>
      </w:r>
    </w:p>
    <w:p>
      <w:pPr>
        <w:pStyle w:val="OHHLR"/>
        <w:numPr>
          <w:ilvl w:val="0"/>
          <w:numId w:val="6"/>
        </w:numPr>
        <w:tabs>
          <w:tab w:val="clear" w:pos="720"/>
          <w:tab w:val="left" w:pos="1080" w:leader="none"/>
        </w:tabs>
        <w:ind w:hanging="360" w:start="1080" w:end="720"/>
        <w:rPr>
          <w:rStyle w:val="Prompt"/>
        </w:rPr>
      </w:pPr>
      <w:r>
        <w:rPr>
          <w:rStyle w:val="Prompt"/>
        </w:rPr>
        <w:t>A distributed network has no one central repository of information or control, but is comprised of an interconnected web of “host” computers, each of which can be accessed from virtually any point on the network.  An Internet user can obtain information from a host computer in another province or another country just as easily as obtaining information from across the street and often with little knowledge of the location of its source.</w:t>
      </w:r>
    </w:p>
    <w:p>
      <w:pPr>
        <w:pStyle w:val="OHHLR"/>
        <w:numPr>
          <w:ilvl w:val="0"/>
          <w:numId w:val="6"/>
        </w:numPr>
        <w:tabs>
          <w:tab w:val="clear" w:pos="720"/>
          <w:tab w:val="left" w:pos="1080" w:leader="none"/>
        </w:tabs>
        <w:ind w:hanging="360" w:start="1080" w:end="720"/>
        <w:rPr>
          <w:rStyle w:val="Prompt"/>
        </w:rPr>
      </w:pPr>
      <w:r>
        <w:rPr>
          <w:rStyle w:val="Prompt"/>
        </w:rPr>
        <w:t>An interoperable network uses “open protocols” so that many different types of networks and facilities can be transparently linked together, and allows multiple services to be provided to different users over the same network.  The Internet can run over virtually any type of facility that can transmit data, including copper and fibre optic circuits of telephone companies, coaxial cable of cable companies, and various types of wireless connections.</w:t>
      </w:r>
    </w:p>
    <w:p>
      <w:pPr>
        <w:pStyle w:val="OHHLR"/>
        <w:numPr>
          <w:ilvl w:val="0"/>
          <w:numId w:val="6"/>
        </w:numPr>
        <w:tabs>
          <w:tab w:val="clear" w:pos="720"/>
          <w:tab w:val="left" w:pos="1080" w:leader="none"/>
        </w:tabs>
        <w:ind w:hanging="360" w:start="1080" w:end="720"/>
        <w:rPr>
          <w:rStyle w:val="Prompt"/>
        </w:rPr>
      </w:pPr>
      <w:r>
        <w:rPr>
          <w:rStyle w:val="Prompt"/>
        </w:rPr>
        <w:t>packet-based technologies transmit information over a network by splitting up the data into small chunks, or “packets”.  Each packet may take a totally different route through the network depending on congestion and distance.  As packets reach their destination, they are reassembled into their original form.</w:t>
      </w:r>
    </w:p>
    <w:p>
      <w:pPr>
        <w:pStyle w:val="OHHLR"/>
        <w:ind w:start="2880" w:end="720"/>
        <w:rPr/>
      </w:pPr>
      <w:r>
        <w:rPr>
          <w:rStyle w:val="Prompt"/>
        </w:rPr>
        <w:t>-Telecom Public Notice CRTC 99-14/Broadcasting Public Notice CRTC 1999-84, Appendix 2, Glossary of New Media Terms</w:t>
      </w:r>
    </w:p>
    <w:p>
      <w:pPr>
        <w:pStyle w:val="OHHpara"/>
        <w:rPr/>
      </w:pPr>
      <w:r>
        <w:rPr>
          <w:rStyle w:val="Prompt"/>
        </w:rPr>
        <w:t xml:space="preserve">At the current time, the average Internet user does not have high speed access and, as a result, would not be able to receive broadcast quality video from a VOD service delivered over the Internet in a streaming format.  As connection speeds and compression technology improve, the transmission of full motion video services over the Internet in a streaming format and will become more prevalent. </w:t>
      </w:r>
    </w:p>
    <w:p>
      <w:pPr>
        <w:pStyle w:val="OHHpara"/>
        <w:rPr/>
      </w:pPr>
      <w:r>
        <w:rPr>
          <w:rStyle w:val="Prompt"/>
          <w:b/>
          <w:u w:val="single"/>
        </w:rPr>
        <w:t>Possible CRTC Reassessment of New Media Exemption Order</w:t>
      </w:r>
    </w:p>
    <w:p>
      <w:pPr>
        <w:pStyle w:val="OHHpara"/>
        <w:rPr/>
      </w:pPr>
      <w:r>
        <w:rPr>
          <w:rStyle w:val="Prompt"/>
        </w:rPr>
        <w:t xml:space="preserve">It is of note that in the New Media Exemption Order public comment process, conventional licensed services expressed concern that if the Exemption Order permitted Internet VOD, regulated players would be placed at a competitive disadvantage.  As well, several parties commented that the CRTC should revisit its Exemption Order upon the occurrence of certain “triggers” which would indicate real and substantial competition between new and traditional media or, in any case, </w:t>
      </w:r>
      <w:r>
        <w:rPr>
          <w:rStyle w:val="Prompt"/>
          <w:i/>
        </w:rPr>
        <w:t>before</w:t>
      </w:r>
      <w:r>
        <w:rPr>
          <w:rStyle w:val="Prompt"/>
        </w:rPr>
        <w:t xml:space="preserve"> the standard five-year review period which has typically been applied to exemption orders.</w:t>
      </w:r>
    </w:p>
    <w:p>
      <w:pPr>
        <w:pStyle w:val="OHHpara"/>
        <w:rPr/>
      </w:pPr>
      <w:r>
        <w:rPr>
          <w:rStyle w:val="Prompt"/>
        </w:rPr>
        <w:t>The CRTC rejected calls for a shorter review period and the “trigger”-based review approach, stating that:</w:t>
      </w:r>
    </w:p>
    <w:p>
      <w:pPr>
        <w:pStyle w:val="OHHpara"/>
        <w:ind w:start="720" w:end="720"/>
        <w:rPr/>
      </w:pPr>
      <w:r>
        <w:rPr>
          <w:rStyle w:val="Prompt"/>
        </w:rPr>
        <w:t>…</w:t>
      </w:r>
      <w:r>
        <w:rPr>
          <w:rStyle w:val="Prompt"/>
        </w:rPr>
        <w:t>a shorter review period could create regulatory uncertainty that may stifle the growth of new media markets and thereby limit the access of Canadians to such services.</w:t>
      </w:r>
    </w:p>
    <w:p>
      <w:pPr>
        <w:pStyle w:val="OHHpara"/>
        <w:ind w:start="720" w:end="720"/>
        <w:rPr/>
      </w:pPr>
      <w:r>
        <w:rPr>
          <w:rStyle w:val="Prompt"/>
        </w:rPr>
        <w:tab/>
        <w:tab/>
        <w:t>-Public Notice CRTC 1999-197</w:t>
      </w:r>
    </w:p>
    <w:p>
      <w:pPr>
        <w:pStyle w:val="OHHpara"/>
        <w:rPr/>
      </w:pPr>
      <w:r>
        <w:rPr>
          <w:rStyle w:val="Prompt"/>
        </w:rPr>
        <w:t xml:space="preserve">Notwithstanding the CRTC’s apparent commitment to at least a five-year exemption period, it is important to recognize that established traditional services, or other members of the public, may complain to the CRTC if they view any new media development to be unfair or inconsistent with the objectives of the </w:t>
      </w:r>
      <w:r>
        <w:rPr>
          <w:rStyle w:val="Prompt"/>
          <w:i/>
        </w:rPr>
        <w:t>Broadcasting Act</w:t>
      </w:r>
      <w:r>
        <w:rPr>
          <w:rStyle w:val="Prompt"/>
        </w:rPr>
        <w:t>.  Whether the CRTC would respond positively to such complaints cannot be predicted.</w:t>
      </w:r>
    </w:p>
    <w:p>
      <w:pPr>
        <w:pStyle w:val="OHHpara"/>
        <w:rPr>
          <w:rStyle w:val="Prompt"/>
          <w:u w:val="single"/>
        </w:rPr>
      </w:pPr>
      <w:r>
        <w:rPr>
          <w:rStyle w:val="Prompt"/>
        </w:rPr>
        <w:t>While it appears unlikely that the CRTC would respond positively to complaints, given its commitment to a five-year review period in order to ensure regulatory certainty, there is also a risk that the CRTC could narrow or revoke the Exemption Order pursuant to its five-year review.  The Commission could take such action if it believed that the Exemption Order was having a negative impact on Canadian broadcasting policy or if broadcasting policy objectives could be better satisfied through licensing.</w:t>
      </w:r>
    </w:p>
    <w:p>
      <w:pPr>
        <w:pStyle w:val="OHHpara"/>
        <w:rPr/>
      </w:pPr>
      <w:r>
        <w:rPr>
          <w:rStyle w:val="Prompt"/>
        </w:rPr>
        <w:t>If you require any additional information or specific analysis, please don’t hesitate to contact me.</w:t>
      </w:r>
    </w:p>
    <w:p>
      <w:pPr>
        <w:pStyle w:val="Closing"/>
        <w:rPr/>
      </w:pPr>
      <w:bookmarkStart w:id="1" w:name="LawInit"/>
      <w:r>
        <w:rPr>
          <w:lang w:val="en-CA"/>
        </w:rPr>
        <w:t>CR</w:t>
      </w:r>
      <w:bookmarkEnd w:id="1"/>
      <w:r>
        <w:rPr/>
        <w:t>:nz</w:t>
      </w:r>
    </w:p>
    <w:sectPr>
      <w:headerReference w:type="default" r:id="rId2"/>
      <w:headerReference w:type="first" r:id="rId3"/>
      <w:footerReference w:type="default" r:id="rId4"/>
      <w:footerReference w:type="first" r:id="rId5"/>
      <w:type w:val="nextPage"/>
      <w:pgSz w:w="12240" w:h="15840"/>
      <w:pgMar w:left="1440" w:right="1440" w:gutter="0" w:header="706" w:top="762" w:footer="706"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lang w:val="en-CA"/>
      </w:rPr>
    </w:pPr>
    <w:r>
      <w:rPr>
        <w:sz w:val="20"/>
        <w:lang w:val="en-CA"/>
      </w:rPr>
    </w:r>
    <w:r>
      <mc:AlternateContent>
        <mc:Choice Requires="wps">
          <w:drawing>
            <wp:anchor behindDoc="1" distT="0" distB="0" distL="114935" distR="114935" simplePos="0" locked="0" layoutInCell="0" allowOverlap="1" relativeHeight="8">
              <wp:simplePos x="0" y="0"/>
              <wp:positionH relativeFrom="margin">
                <wp:posOffset>-91440</wp:posOffset>
              </wp:positionH>
              <wp:positionV relativeFrom="paragraph">
                <wp:posOffset>635</wp:posOffset>
              </wp:positionV>
              <wp:extent cx="2743200" cy="320040"/>
              <wp:effectExtent l="0" t="0" r="0" b="0"/>
              <wp:wrapNone/>
              <wp:docPr id="1" name="Frame2"/>
              <a:graphic xmlns:a="http://schemas.openxmlformats.org/drawingml/2006/main">
                <a:graphicData uri="http://schemas.microsoft.com/office/word/2010/wordprocessingShape">
                  <wps:wsp>
                    <wps:cNvSpPr txBox="1"/>
                    <wps:spPr>
                      <a:xfrm>
                        <a:off x="0" y="0"/>
                        <a:ext cx="2743200" cy="320040"/>
                      </a:xfrm>
                      <a:prstGeom prst="rect"/>
                      <a:solidFill>
                        <a:srgbClr val="FFFFFF">
                          <a:alpha val="0"/>
                        </a:srgbClr>
                      </a:solidFill>
                    </wps:spPr>
                    <wps:txbx>
                      <w:txbxContent>
                        <w:p>
                          <w:pPr>
                            <w:pStyle w:val="Normal"/>
                            <w:rPr/>
                          </w:pPr>
                          <w:r>
                            <w:rPr>
                              <w:rStyle w:val="DocId"/>
                            </w:rPr>
                            <w:fldChar w:fldCharType="begin"/>
                          </w:r>
                          <w:r>
                            <w:rPr>
                              <w:rStyle w:val="DocId"/>
                            </w:rPr>
                            <w:instrText xml:space="preserve"> DOCPROPERTY "iManageFooter"</w:instrText>
                          </w:r>
                          <w:r>
                            <w:rPr>
                              <w:rStyle w:val="DocId"/>
                            </w:rPr>
                            <w:fldChar w:fldCharType="separate"/>
                          </w:r>
                          <w:r>
                            <w:rPr>
                              <w:rStyle w:val="DocId"/>
                            </w:rPr>
                            <w:t>ottawa:150174.1  200010261047</w:t>
                          </w:r>
                          <w:r>
                            <w:rPr>
                              <w:rStyle w:val="DocId"/>
                            </w:rPr>
                            <w:fldChar w:fldCharType="end"/>
                          </w:r>
                        </w:p>
                      </w:txbxContent>
                    </wps:txbx>
                    <wps:bodyPr anchor="t" lIns="92075" tIns="46355" rIns="92075" bIns="46355">
                      <a:noAutofit/>
                    </wps:bodyPr>
                  </wps:wsp>
                </a:graphicData>
              </a:graphic>
            </wp:anchor>
          </w:drawing>
        </mc:Choice>
        <mc:Fallback>
          <w:pict>
            <v:rect fillcolor="#FFFFFF" style="position:absolute;rotation:-0;width:216pt;height:25.2pt;mso-wrap-distance-left:9.05pt;mso-wrap-distance-right:9.05pt;mso-wrap-distance-top:0pt;mso-wrap-distance-bottom:0pt;margin-top:0pt;mso-position-vertical-relative:text;margin-left:-7.2pt;mso-position-horizontal-relative:margin">
              <v:fill opacity="0f"/>
              <v:textbox inset="0.100694444444444in,0.0506944444444444in,0.100694444444444in,0.0506944444444444in">
                <w:txbxContent>
                  <w:p>
                    <w:pPr>
                      <w:pStyle w:val="Normal"/>
                      <w:rPr/>
                    </w:pPr>
                    <w:r>
                      <w:rPr>
                        <w:rStyle w:val="DocId"/>
                      </w:rPr>
                      <w:fldChar w:fldCharType="begin"/>
                    </w:r>
                    <w:r>
                      <w:rPr>
                        <w:rStyle w:val="DocId"/>
                      </w:rPr>
                      <w:instrText xml:space="preserve"> DOCPROPERTY "iManageFooter"</w:instrText>
                    </w:r>
                    <w:r>
                      <w:rPr>
                        <w:rStyle w:val="DocId"/>
                      </w:rPr>
                      <w:fldChar w:fldCharType="separate"/>
                    </w:r>
                    <w:r>
                      <w:rPr>
                        <w:rStyle w:val="DocId"/>
                      </w:rPr>
                      <w:t>ottawa:150174.1  200010261047</w:t>
                    </w:r>
                    <w:r>
                      <w:rPr>
                        <w:rStyle w:val="DocId"/>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lang w:val="en-CA"/>
      </w:rPr>
    </w:pPr>
    <w:r>
      <w:rPr>
        <w:sz w:val="20"/>
        <w:lang w:val="en-CA"/>
      </w:rPr>
    </w:r>
    <w:r>
      <mc:AlternateContent>
        <mc:Choice Requires="wps">
          <w:drawing>
            <wp:anchor behindDoc="1" distT="0" distB="0" distL="114935" distR="114935" simplePos="0" locked="0" layoutInCell="0" allowOverlap="1" relativeHeight="9">
              <wp:simplePos x="0" y="0"/>
              <wp:positionH relativeFrom="margin">
                <wp:posOffset>-91440</wp:posOffset>
              </wp:positionH>
              <wp:positionV relativeFrom="paragraph">
                <wp:posOffset>635</wp:posOffset>
              </wp:positionV>
              <wp:extent cx="2743200" cy="320040"/>
              <wp:effectExtent l="0" t="0" r="0" b="0"/>
              <wp:wrapNone/>
              <wp:docPr id="2" name="Frame1"/>
              <a:graphic xmlns:a="http://schemas.openxmlformats.org/drawingml/2006/main">
                <a:graphicData uri="http://schemas.microsoft.com/office/word/2010/wordprocessingShape">
                  <wps:wsp>
                    <wps:cNvSpPr txBox="1"/>
                    <wps:spPr>
                      <a:xfrm>
                        <a:off x="0" y="0"/>
                        <a:ext cx="2743200" cy="320040"/>
                      </a:xfrm>
                      <a:prstGeom prst="rect"/>
                      <a:solidFill>
                        <a:srgbClr val="FFFFFF">
                          <a:alpha val="0"/>
                        </a:srgbClr>
                      </a:solidFill>
                    </wps:spPr>
                    <wps:txbx>
                      <w:txbxContent>
                        <w:p>
                          <w:pPr>
                            <w:pStyle w:val="Normal"/>
                            <w:rPr/>
                          </w:pPr>
                          <w:r>
                            <w:rPr>
                              <w:rStyle w:val="DocId"/>
                            </w:rPr>
                            <w:fldChar w:fldCharType="begin"/>
                          </w:r>
                          <w:r>
                            <w:rPr>
                              <w:rStyle w:val="DocId"/>
                            </w:rPr>
                            <w:instrText xml:space="preserve"> DOCPROPERTY "iManageFooter"</w:instrText>
                          </w:r>
                          <w:r>
                            <w:rPr>
                              <w:rStyle w:val="DocId"/>
                            </w:rPr>
                            <w:fldChar w:fldCharType="separate"/>
                          </w:r>
                          <w:r>
                            <w:rPr>
                              <w:rStyle w:val="DocId"/>
                            </w:rPr>
                            <w:t>ottawa:150174.1  200010261047</w:t>
                          </w:r>
                          <w:r>
                            <w:rPr>
                              <w:rStyle w:val="DocId"/>
                            </w:rPr>
                            <w:fldChar w:fldCharType="end"/>
                          </w:r>
                        </w:p>
                      </w:txbxContent>
                    </wps:txbx>
                    <wps:bodyPr anchor="t" lIns="92075" tIns="46355" rIns="92075" bIns="46355">
                      <a:noAutofit/>
                    </wps:bodyPr>
                  </wps:wsp>
                </a:graphicData>
              </a:graphic>
            </wp:anchor>
          </w:drawing>
        </mc:Choice>
        <mc:Fallback>
          <w:pict>
            <v:rect fillcolor="#FFFFFF" style="position:absolute;rotation:-0;width:216pt;height:25.2pt;mso-wrap-distance-left:9.05pt;mso-wrap-distance-right:9.05pt;mso-wrap-distance-top:0pt;mso-wrap-distance-bottom:0pt;margin-top:0pt;mso-position-vertical-relative:text;margin-left:-7.2pt;mso-position-horizontal-relative:margin">
              <v:fill opacity="0f"/>
              <v:textbox inset="0.100694444444444in,0.0506944444444444in,0.100694444444444in,0.0506944444444444in">
                <w:txbxContent>
                  <w:p>
                    <w:pPr>
                      <w:pStyle w:val="Normal"/>
                      <w:rPr/>
                    </w:pPr>
                    <w:r>
                      <w:rPr>
                        <w:rStyle w:val="DocId"/>
                      </w:rPr>
                      <w:fldChar w:fldCharType="begin"/>
                    </w:r>
                    <w:r>
                      <w:rPr>
                        <w:rStyle w:val="DocId"/>
                      </w:rPr>
                      <w:instrText xml:space="preserve"> DOCPROPERTY "iManageFooter"</w:instrText>
                    </w:r>
                    <w:r>
                      <w:rPr>
                        <w:rStyle w:val="DocId"/>
                      </w:rPr>
                      <w:fldChar w:fldCharType="separate"/>
                    </w:r>
                    <w:r>
                      <w:rPr>
                        <w:rStyle w:val="DocId"/>
                      </w:rPr>
                      <w:t>ottawa:150174.1  200010261047</w:t>
                    </w:r>
                    <w:r>
                      <w:rPr>
                        <w:rStyle w:val="DocId"/>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docVars>
    <w:docVar w:name="PaperType" w:val="plai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CA"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character" w:styleId="Prompt">
    <w:name w:val="Prompt"/>
    <w:basedOn w:val="DefaultParagraphFont"/>
    <w:qFormat/>
    <w:rPr>
      <w:color w:val="auto"/>
    </w:rPr>
  </w:style>
  <w:style w:type="character" w:styleId="PageNumber">
    <w:name w:val="page number"/>
    <w:basedOn w:val="DefaultParagraphFont"/>
    <w:rPr>
      <w:sz w:val="24"/>
      <w:lang w:val="en-CA"/>
    </w:rPr>
  </w:style>
  <w:style w:type="character" w:styleId="cc">
    <w:name w:val="cc"/>
    <w:basedOn w:val="DefaultParagraphFont"/>
    <w:qFormat/>
    <w:rPr/>
  </w:style>
  <w:style w:type="character" w:styleId="FootnoteCharacters">
    <w:name w:val="Footnote Characters"/>
    <w:basedOn w:val="DefaultParagraphFont"/>
    <w:qFormat/>
    <w:rPr>
      <w:vertAlign w:val="superscript"/>
    </w:rPr>
  </w:style>
  <w:style w:type="character" w:styleId="DocId">
    <w:name w:val="DocId"/>
    <w:basedOn w:val="DefaultParagraphFont"/>
    <w:qFormat/>
    <w:rPr>
      <w:sz w:val="12"/>
      <w:lang w:val="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pacing w:before="0" w:after="0"/>
      <w:jc w:val="start"/>
    </w:pPr>
    <w:rPr>
      <w:sz w:val="12"/>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tabs>
        <w:tab w:val="clear" w:pos="720"/>
        <w:tab w:val="left" w:pos="432" w:leader="none"/>
      </w:tabs>
      <w:spacing w:lineRule="atLeast" w:line="240"/>
      <w:ind w:hanging="432" w:start="432" w:end="0"/>
    </w:pPr>
    <w:rPr>
      <w:sz w:val="20"/>
    </w:rPr>
  </w:style>
  <w:style w:type="paragraph" w:styleId="Plain">
    <w:name w:val="Plain"/>
    <w:basedOn w:val="Normal"/>
    <w:qFormat/>
    <w:pPr>
      <w:spacing w:before="0" w:after="0"/>
      <w:jc w:val="start"/>
    </w:pPr>
    <w:rPr/>
  </w:style>
  <w:style w:type="paragraph" w:styleId="Date">
    <w:name w:val="Date"/>
    <w:basedOn w:val="Normal"/>
    <w:next w:val="Normal"/>
    <w:qFormat/>
    <w:pPr>
      <w:keepNext w:val="true"/>
      <w:spacing w:lineRule="auto" w:line="240"/>
      <w:jc w:val="start"/>
    </w:pPr>
    <w:rPr/>
  </w:style>
  <w:style w:type="paragraph" w:styleId="Cite">
    <w:name w:val="Cite"/>
    <w:basedOn w:val="Normal"/>
    <w:next w:val="Normal"/>
    <w:qFormat/>
    <w:pPr>
      <w:keepLines/>
      <w:ind w:hanging="0" w:start="1440" w:end="1440"/>
    </w:pPr>
    <w:rPr>
      <w:rFonts w:ascii="Arial" w:hAnsi="Arial" w:cs="Arial"/>
      <w:i/>
      <w:sz w:val="20"/>
    </w:rPr>
  </w:style>
  <w:style w:type="paragraph" w:styleId="ReLine">
    <w:name w:val="Re: Line"/>
    <w:basedOn w:val="Normal"/>
    <w:next w:val="Normal"/>
    <w:qFormat/>
    <w:pPr>
      <w:pBdr>
        <w:bottom w:val="single" w:sz="12" w:space="1" w:color="000000"/>
      </w:pBdr>
      <w:spacing w:before="80" w:after="0"/>
      <w:ind w:hanging="1080" w:start="1080" w:end="0"/>
      <w:jc w:val="start"/>
    </w:pPr>
    <w:rPr>
      <w:rFonts w:ascii="Arial" w:hAnsi="Arial" w:cs="Arial"/>
      <w:b/>
    </w:rPr>
  </w:style>
  <w:style w:type="paragraph" w:styleId="OHHQuote">
    <w:name w:val="OHHQuote"/>
    <w:basedOn w:val="Normal"/>
    <w:qFormat/>
    <w:pPr>
      <w:spacing w:before="0" w:after="240"/>
      <w:ind w:hanging="0" w:start="1440" w:end="1440"/>
      <w:jc w:val="both"/>
    </w:pPr>
    <w:rPr>
      <w:sz w:val="20"/>
    </w:rPr>
  </w:style>
  <w:style w:type="paragraph" w:styleId="Closing">
    <w:name w:val="Closing"/>
    <w:basedOn w:val="Normal"/>
    <w:next w:val="Enclosure"/>
    <w:qFormat/>
    <w:pPr>
      <w:spacing w:before="0" w:after="0"/>
      <w:jc w:val="start"/>
    </w:pPr>
    <w:rPr/>
  </w:style>
  <w:style w:type="paragraph" w:styleId="Enclosure">
    <w:name w:val="Enclosure"/>
    <w:basedOn w:val="Closing"/>
    <w:next w:val="Normal"/>
    <w:qFormat/>
    <w:pPr/>
    <w:rPr/>
  </w:style>
  <w:style w:type="paragraph" w:styleId="MemoHeader">
    <w:name w:val="MemoHeader"/>
    <w:basedOn w:val="Normal"/>
    <w:qFormat/>
    <w:pPr>
      <w:spacing w:before="180" w:after="180"/>
      <w:jc w:val="start"/>
    </w:pPr>
    <w:rPr/>
  </w:style>
  <w:style w:type="paragraph" w:styleId="To">
    <w:name w:val="To"/>
    <w:basedOn w:val="MemoHeader"/>
    <w:qFormat/>
    <w:pPr>
      <w:tabs>
        <w:tab w:val="clear" w:pos="720"/>
        <w:tab w:val="left" w:pos="576" w:leader="none"/>
      </w:tabs>
      <w:spacing w:before="0" w:after="0"/>
      <w:ind w:hanging="576" w:start="576" w:end="0"/>
    </w:pPr>
    <w:rPr/>
  </w:style>
  <w:style w:type="paragraph" w:styleId="bc">
    <w:name w:val="bc"/>
    <w:basedOn w:val="To"/>
    <w:qFormat/>
    <w:pPr/>
    <w:rPr>
      <w:vanish/>
    </w:rPr>
  </w:style>
  <w:style w:type="paragraph" w:styleId="MemoTitle">
    <w:name w:val="MemoTitle"/>
    <w:basedOn w:val="Normal"/>
    <w:qFormat/>
    <w:pPr>
      <w:jc w:val="center"/>
    </w:pPr>
    <w:rPr>
      <w:b/>
    </w:rPr>
  </w:style>
  <w:style w:type="paragraph" w:styleId="OHHpara">
    <w:name w:val="OHHpara"/>
    <w:basedOn w:val="Normal"/>
    <w:qFormat/>
    <w:pPr>
      <w:spacing w:before="0" w:after="240"/>
      <w:jc w:val="both"/>
    </w:pPr>
    <w:rPr/>
  </w:style>
  <w:style w:type="paragraph" w:styleId="OHHLR">
    <w:name w:val="OHHLR"/>
    <w:basedOn w:val="OHHpara"/>
    <w:qFormat/>
    <w:pPr>
      <w:spacing w:before="0" w:after="240"/>
      <w:ind w:hanging="0" w:start="720" w:end="720"/>
      <w:jc w:val="both"/>
    </w:pPr>
    <w:rPr/>
  </w:style>
  <w:style w:type="paragraph" w:styleId="OHHMainHeading">
    <w:name w:val="OHHMainHeading"/>
    <w:basedOn w:val="OHHpara"/>
    <w:next w:val="OHHpara"/>
    <w:qFormat/>
    <w:pPr>
      <w:keepNext w:val="true"/>
      <w:keepLines/>
      <w:spacing w:before="120" w:after="240"/>
      <w:jc w:val="center"/>
      <w:outlineLvl w:val="0"/>
    </w:pPr>
    <w:rPr>
      <w:rFonts w:ascii="Times New Roman Bold" w:hAnsi="Times New Roman Bold" w:cs="Times New Roman Bold"/>
      <w:b/>
      <w:caps/>
      <w:u w:val="single"/>
    </w:rPr>
  </w:style>
  <w:style w:type="paragraph" w:styleId="OHHPlain">
    <w:name w:val="OHHPlain"/>
    <w:basedOn w:val="Normal"/>
    <w:qFormat/>
    <w:pPr/>
    <w:rPr/>
  </w:style>
  <w:style w:type="paragraph" w:styleId="OHHSubHeading">
    <w:name w:val="OHHSubHeading"/>
    <w:basedOn w:val="OHHpara"/>
    <w:next w:val="OHHpara"/>
    <w:qFormat/>
    <w:pPr>
      <w:keepNext w:val="true"/>
      <w:keepLines/>
      <w:spacing w:before="120" w:after="240"/>
      <w:jc w:val="start"/>
      <w:outlineLvl w:val="1"/>
    </w:pPr>
    <w:rPr>
      <w:rFonts w:ascii="Times New Roman Bold" w:hAnsi="Times New Roman Bold" w:cs="Times New Roman Bold"/>
      <w:b/>
      <w:u w:val="single"/>
    </w:rPr>
  </w:style>
  <w:style w:type="paragraph" w:styleId="OHHTab2">
    <w:name w:val="OHHTab2"/>
    <w:basedOn w:val="OHHpara"/>
    <w:qFormat/>
    <w:pPr>
      <w:ind w:firstLine="1440" w:start="0" w:end="0"/>
    </w:pPr>
    <w:rPr/>
  </w:style>
  <w:style w:type="paragraph" w:styleId="OHHTab">
    <w:name w:val="OHHTab"/>
    <w:basedOn w:val="OHHpara"/>
    <w:qFormat/>
    <w:pPr>
      <w:ind w:firstLine="720" w:start="0" w:end="0"/>
    </w:pPr>
    <w:rPr/>
  </w:style>
  <w:style w:type="paragraph" w:styleId="OHHpara1">
    <w:name w:val="OHHpara1"/>
    <w:basedOn w:val="OHHpara"/>
    <w:qFormat/>
    <w:pPr>
      <w:ind w:hanging="0" w:start="720" w:end="0"/>
    </w:pPr>
    <w:rPr/>
  </w:style>
  <w:style w:type="paragraph" w:styleId="OHHpara2">
    <w:name w:val="OHHpara2"/>
    <w:basedOn w:val="OHHpara"/>
    <w:qFormat/>
    <w:pPr>
      <w:ind w:hanging="0" w:start="1440" w:end="0"/>
    </w:pPr>
    <w:rPr/>
  </w:style>
  <w:style w:type="paragraph" w:styleId="OHHpara3">
    <w:name w:val="OHHpara3"/>
    <w:basedOn w:val="OHHpara"/>
    <w:qFormat/>
    <w:pPr>
      <w:ind w:hanging="0" w:start="2160" w:end="0"/>
    </w:pPr>
    <w:rPr/>
  </w:style>
  <w:style w:type="paragraph" w:styleId="OHHpara4">
    <w:name w:val="OHHpara4"/>
    <w:basedOn w:val="OHHpara"/>
    <w:qFormat/>
    <w:pPr>
      <w:ind w:hanging="0" w:start="2880" w:end="0"/>
    </w:pPr>
    <w:rPr/>
  </w:style>
  <w:style w:type="paragraph" w:styleId="OHHpara5">
    <w:name w:val="OHHpara5"/>
    <w:basedOn w:val="OHHpara"/>
    <w:qFormat/>
    <w:pPr>
      <w:ind w:hanging="0" w:start="3600" w:end="0"/>
    </w:pPr>
    <w:rPr/>
  </w:style>
  <w:style w:type="paragraph" w:styleId="OHHLR2">
    <w:name w:val="OHHLR2"/>
    <w:basedOn w:val="OHHpara"/>
    <w:qFormat/>
    <w:pPr>
      <w:spacing w:before="0" w:after="240"/>
      <w:ind w:hanging="0" w:start="1440" w:end="1440"/>
      <w:jc w:val="both"/>
    </w:pPr>
    <w:rPr/>
  </w:style>
  <w:style w:type="paragraph" w:styleId="OHHCentre">
    <w:name w:val="OHHCentre"/>
    <w:basedOn w:val="OHHpara"/>
    <w:qFormat/>
    <w:pPr>
      <w:spacing w:before="0" w:after="240"/>
      <w:jc w:val="center"/>
    </w:pPr>
    <w:rPr/>
  </w:style>
  <w:style w:type="paragraph" w:styleId="OHHLeft">
    <w:name w:val="OHHLeft"/>
    <w:basedOn w:val="OHHpara"/>
    <w:qFormat/>
    <w:pPr>
      <w:jc w:val="start"/>
    </w:pPr>
    <w:rPr/>
  </w:style>
  <w:style w:type="paragraph" w:styleId="OHHRight">
    <w:name w:val="OHHRight"/>
    <w:basedOn w:val="OHHpara"/>
    <w:qFormat/>
    <w:pPr>
      <w:jc w:val="end"/>
    </w:pPr>
    <w:rPr/>
  </w:style>
  <w:style w:type="paragraph" w:styleId="Schedule">
    <w:name w:val="Schedule"/>
    <w:basedOn w:val="OHHpara"/>
    <w:next w:val="OHHpara"/>
    <w:qFormat/>
    <w:pPr>
      <w:keepNext w:val="true"/>
      <w:jc w:val="center"/>
    </w:pPr>
    <w:rPr>
      <w:rFonts w:ascii="Times New Roman Bold" w:hAnsi="Times New Roman Bold" w:cs="Times New Roman Bold"/>
      <w:b/>
      <w:caps/>
    </w:rPr>
  </w:style>
  <w:style w:type="paragraph" w:styleId="OHHHanging">
    <w:name w:val="OHH_Hanging"/>
    <w:basedOn w:val="OHHpara"/>
    <w:qFormat/>
    <w:pPr>
      <w:spacing w:lineRule="auto" w:line="360"/>
      <w:ind w:hanging="720" w:start="720" w:end="0"/>
    </w:pPr>
    <w:rPr/>
  </w:style>
  <w:style w:type="paragraph" w:styleId="OHHReference">
    <w:name w:val="OHHReference"/>
    <w:basedOn w:val="OHHQuote"/>
    <w:qFormat/>
    <w:pPr/>
    <w:rPr>
      <w:rFonts w:ascii="Times New Roman Bold" w:hAnsi="Times New Roman Bold" w:cs="Times New Roman Bold"/>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2000-10-27T11:21:00Z</dcterms:created>
  <dc:creator>CRathwell</dc:creator>
  <dc:description/>
  <dc:language>en-CA</dc:language>
  <cp:lastModifiedBy>NZygowski</cp:lastModifiedBy>
  <cp:lastPrinted>2000-10-26T12:04:00Z</cp:lastPrinted>
  <dcterms:modified xsi:type="dcterms:W3CDTF">2000-10-27T11:21:00Z</dcterms:modified>
  <cp:revision>2</cp:revision>
  <dc:subject/>
  <dc:title>Memorandum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ottawa:150174.1  200010261047</vt:lpwstr>
  </property>
</Properties>
</file>