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OUTLINE OF ANALYSIS</w:t>
      </w:r>
    </w:p>
    <w:p>
      <w:pPr>
        <w:pStyle w:val="Heading1"/>
        <w:ind w:hanging="0" w:start="0"/>
        <w:rPr/>
      </w:pPr>
      <w:r>
        <w:rPr/>
        <w:tab/>
        <w:t>Damages for repudiation under UCC</w:t>
      </w:r>
    </w:p>
    <w:p>
      <w:pPr>
        <w:pStyle w:val="Heading2"/>
        <w:ind w:hanging="0" w:start="0"/>
        <w:rPr/>
      </w:pPr>
      <w:r>
        <w:rPr/>
        <w:t>UCC §2-719(1)</w:t>
      </w:r>
    </w:p>
    <w:p>
      <w:pPr>
        <w:pStyle w:val="Heading3"/>
        <w:ind w:hanging="0" w:start="0"/>
        <w:rPr/>
      </w:pPr>
      <w:r>
        <w:rPr/>
        <w:t>The UCC expressly permits the parties to agree to contractual remedies in addition to those provided by the UCC.</w:t>
      </w:r>
    </w:p>
    <w:p>
      <w:pPr>
        <w:pStyle w:val="Heading3"/>
        <w:ind w:hanging="0" w:start="0"/>
        <w:rPr/>
      </w:pPr>
      <w:r>
        <w:rPr/>
        <w:t>A court is likely to treat the buy-out provisions of Section 11.02 of the PPA as a remedy available to the Project if Brazos repudiates because any other treatment would allow Brazos to circumvent the clear agreement of the parties as to the “cost” to Brazos of getting out of the PPA.</w:t>
      </w:r>
    </w:p>
    <w:p>
      <w:pPr>
        <w:pStyle w:val="Heading3"/>
        <w:ind w:hanging="0" w:start="0"/>
        <w:rPr/>
      </w:pPr>
      <w:r>
        <w:rPr/>
        <w:t>The view is clearly supported by the decisions of the courts.</w:t>
      </w:r>
    </w:p>
    <w:p>
      <w:pPr>
        <w:pStyle w:val="BodyText"/>
        <w:ind w:hanging="1440" w:start="2880" w:end="0"/>
        <w:rPr/>
      </w:pPr>
      <w:r>
        <w:rPr/>
        <w:t>Examples:</w:t>
        <w:tab/>
      </w:r>
      <w:r>
        <w:rPr>
          <w:u w:val="single"/>
        </w:rPr>
        <w:t>Prenalta Corporation v. Colorado Interstate Gas Company</w:t>
      </w:r>
      <w:r>
        <w:rPr/>
        <w:t>, 944 F.2d 677 (10</w:t>
      </w:r>
      <w:r>
        <w:rPr>
          <w:vertAlign w:val="superscript"/>
        </w:rPr>
        <w:t>th</w:t>
      </w:r>
      <w:r>
        <w:rPr/>
        <w:t xml:space="preserve"> Cir. 1991)</w:t>
      </w:r>
    </w:p>
    <w:p>
      <w:pPr>
        <w:pStyle w:val="BodyText"/>
        <w:ind w:hanging="1440" w:start="2880" w:end="0"/>
        <w:rPr/>
      </w:pPr>
      <w:r>
        <w:rPr/>
        <w:tab/>
      </w:r>
      <w:r>
        <w:rPr>
          <w:u w:val="single"/>
        </w:rPr>
        <w:t>Lenape Resources Corporation v. Tennessee Gas Pipeline Company</w:t>
      </w:r>
      <w:r>
        <w:rPr/>
        <w:t>, 925 S.W. 2d 565 (Sup. Tex. 1996).</w:t>
      </w:r>
    </w:p>
    <w:p>
      <w:pPr>
        <w:pStyle w:val="Heading2"/>
        <w:ind w:hanging="0" w:start="0"/>
        <w:rPr/>
      </w:pPr>
      <w:r>
        <w:rPr/>
        <w:t>UCC §2-708(1)</w:t>
      </w:r>
    </w:p>
    <w:p>
      <w:pPr>
        <w:pStyle w:val="Heading3"/>
        <w:ind w:hanging="0" w:start="0"/>
        <w:rPr/>
      </w:pPr>
      <w:r>
        <w:rPr/>
        <w:t>If a court or arbitrator does not use Section 11-02 as the damage remedy, and assuming that damages on repudiation are governed by 2-708(1), courts have consistently enforced contract price escalation provisions.</w:t>
      </w:r>
    </w:p>
    <w:p>
      <w:pPr>
        <w:pStyle w:val="BodyText"/>
        <w:ind w:hanging="1440" w:start="2880" w:end="0"/>
        <w:rPr/>
      </w:pPr>
      <w:r>
        <w:rPr/>
        <w:t>Examples:</w:t>
        <w:tab/>
      </w:r>
      <w:r>
        <w:rPr>
          <w:u w:val="single"/>
        </w:rPr>
        <w:t>Northern Indiana Public Service Company v. Carbon County Coal Company</w:t>
      </w:r>
      <w:r>
        <w:rPr/>
        <w:t>, 799 F.2d 265 (7</w:t>
      </w:r>
      <w:r>
        <w:rPr>
          <w:vertAlign w:val="superscript"/>
        </w:rPr>
        <w:t>th</w:t>
      </w:r>
      <w:r>
        <w:rPr/>
        <w:t xml:space="preserve"> Cir. 1986) (20 year coal contract)</w:t>
      </w:r>
    </w:p>
    <w:p>
      <w:pPr>
        <w:pStyle w:val="BodyText"/>
        <w:ind w:hanging="1440" w:start="2880" w:end="0"/>
        <w:rPr/>
      </w:pPr>
      <w:r>
        <w:rPr/>
        <w:tab/>
      </w:r>
      <w:r>
        <w:rPr>
          <w:u w:val="single"/>
        </w:rPr>
        <w:t>Prenalta Corporation v. Colorado Interstate Gas Company</w:t>
      </w:r>
      <w:r>
        <w:rPr/>
        <w:t>, 944 F.2d 677 (10</w:t>
      </w:r>
      <w:r>
        <w:rPr>
          <w:vertAlign w:val="superscript"/>
        </w:rPr>
        <w:t>th</w:t>
      </w:r>
      <w:r>
        <w:rPr/>
        <w:t xml:space="preserve"> Cir. 1991) (gas take-or-pay contract)</w:t>
      </w:r>
    </w:p>
    <w:p>
      <w:pPr>
        <w:pStyle w:val="BodyText"/>
        <w:ind w:hanging="1440" w:start="2880" w:end="0"/>
        <w:rPr/>
      </w:pPr>
      <w:r>
        <w:rPr/>
        <w:tab/>
      </w:r>
      <w:r>
        <w:rPr>
          <w:u w:val="single"/>
        </w:rPr>
        <w:t>Lenape Resources Corporation v. Tennessee Gas Pipeline Company</w:t>
      </w:r>
      <w:r>
        <w:rPr/>
        <w:t>, 925 S.W. 2d 565 (Sup. Tex. 1996) (gas take-or-pay contract)</w:t>
      </w:r>
    </w:p>
    <w:p>
      <w:pPr>
        <w:pStyle w:val="Heading3"/>
        <w:ind w:hanging="0" w:start="0"/>
        <w:rPr/>
      </w:pPr>
      <w:r>
        <w:rPr/>
        <w:t>Brazos relies on an excerpt from the White and Summers UCC treatise that cites no authority for the view espoused by Brazos (and we could not find any either).</w:t>
      </w:r>
    </w:p>
    <w:p>
      <w:pPr>
        <w:pStyle w:val="Heading3"/>
        <w:ind w:hanging="0" w:start="0"/>
        <w:rPr/>
      </w:pPr>
      <w:r>
        <w:rPr/>
        <w:t>Under §2-708(1), the measure of damages on repudiation is equal to the present value of the contract payments (as escalated) less the “market value” of the merchant energy from the plant.  Enron believes that this will produce damages that are approximately equal to the buy-out price under Section 11.02 of the PPA, with the only variable being the discount rate.</w:t>
      </w:r>
    </w:p>
    <w:p>
      <w:pPr>
        <w:pStyle w:val="Heading2"/>
        <w:keepNext w:val="true"/>
        <w:ind w:hanging="0" w:start="0"/>
        <w:rPr/>
      </w:pPr>
      <w:r>
        <w:rPr/>
        <w:t>UCC §2-708(2)</w:t>
      </w:r>
    </w:p>
    <w:p>
      <w:pPr>
        <w:pStyle w:val="Heading3"/>
        <w:ind w:hanging="0" w:start="0"/>
        <w:rPr/>
      </w:pPr>
      <w:r>
        <w:rPr/>
        <w:t>UCC §2-708(1) is not the exclusive remedy.  UCC §2-708(2) specifically recognizes that if §2-708(1) does not put Project in as good of a position as it would have been if Brazos fully performed, then Project is entitled to its lost profits.</w:t>
      </w:r>
    </w:p>
    <w:p>
      <w:pPr>
        <w:pStyle w:val="Heading3"/>
        <w:ind w:hanging="0" w:start="0"/>
        <w:rPr/>
      </w:pPr>
      <w:r>
        <w:rPr/>
        <w:t>Enron believes that the lost profits if Brazos repudiates will be approximately equal to PPA buy-out price, with the only variable being the discount rate.</w:t>
      </w:r>
    </w:p>
    <w:p>
      <w:pPr>
        <w:pStyle w:val="Heading1"/>
        <w:ind w:hanging="0" w:start="0"/>
        <w:rPr/>
      </w:pPr>
      <w:r>
        <w:rPr/>
        <w:tab/>
        <w:t>Non-UCC Damages</w:t>
      </w:r>
    </w:p>
    <w:p>
      <w:pPr>
        <w:pStyle w:val="Heading2"/>
        <w:ind w:hanging="0" w:start="0"/>
        <w:rPr/>
      </w:pPr>
      <w:r>
        <w:rPr/>
        <w:t>A court is likely to use Section 11.02 of the PPA as the damage remedy.  The arguments are the same as under the UCC discussion.</w:t>
      </w:r>
    </w:p>
    <w:p>
      <w:pPr>
        <w:pStyle w:val="Heading2"/>
        <w:ind w:hanging="0" w:start="0"/>
        <w:rPr/>
      </w:pPr>
      <w:r>
        <w:rPr/>
        <w:t>The damages on repudiation if the UCC does not apply are no different: the damages are equal to the discounted contract price (escalated as provided in the contract) less the discounted value of the merchant sales from the plant.</w:t>
      </w:r>
    </w:p>
    <w:p>
      <w:pPr>
        <w:pStyle w:val="Heading2"/>
        <w:ind w:hanging="0" w:start="0"/>
        <w:rPr/>
      </w:pPr>
      <w:r>
        <w:rPr/>
        <w:t>This value is the same as the values in I. A and B and differs from the buy-out price only to the extent a different discount rate is used.</w:t>
      </w:r>
    </w:p>
    <w:p>
      <w:pPr>
        <w:pStyle w:val="Heading1"/>
        <w:ind w:hanging="0" w:start="0"/>
        <w:rPr/>
      </w:pPr>
      <w:r>
        <w:rPr/>
        <w:tab/>
        <w:t>Conclusion</w:t>
      </w:r>
    </w:p>
    <w:p>
      <w:pPr>
        <w:pStyle w:val="BodyTextIndent"/>
        <w:spacing w:before="0" w:after="240"/>
        <w:rPr/>
      </w:pPr>
      <w:r>
        <w:rPr/>
        <w:t>All analyses lead to similar damages, with the only argument being over the discount rate.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27305</wp:posOffset>
              </wp:positionV>
              <wp:extent cx="1206500" cy="228600"/>
              <wp:effectExtent l="0" t="0" r="0" b="0"/>
              <wp:wrapNone/>
              <wp:docPr id="1" name="Frame2"/>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rPr>
                              <w:sz w:val="16"/>
                            </w:rPr>
                          </w:pPr>
                          <w:r>
                            <w:rPr>
                              <w:sz w:val="16"/>
                            </w:rPr>
                            <w:fldChar w:fldCharType="begin"/>
                          </w:r>
                          <w:r>
                            <w:rPr>
                              <w:sz w:val="16"/>
                            </w:rPr>
                            <w:instrText xml:space="preserve"> KEYWORDS </w:instrText>
                          </w:r>
                          <w:r>
                            <w:rPr>
                              <w:sz w:val="16"/>
                            </w:rPr>
                            <w:fldChar w:fldCharType="separate"/>
                          </w:r>
                          <w:r>
                            <w:rPr>
                              <w:sz w:val="16"/>
                            </w:rPr>
                            <w:t>DN 148979.1 24571 00838</w:t>
                          </w:r>
                          <w:r>
                            <w:rPr>
                              <w:sz w:val="16"/>
                            </w:rPr>
                            <w:fldChar w:fldCharType="end"/>
                          </w:r>
                        </w:p>
                      </w:txbxContent>
                    </wps:txbx>
                    <wps:bodyPr anchor="t" lIns="635" tIns="635" rIns="635" bIns="635">
                      <a:noAutofit/>
                    </wps:bodyPr>
                  </wps:wsp>
                </a:graphicData>
              </a:graphic>
            </wp:anchor>
          </w:drawing>
        </mc:Choice>
        <mc:Fallback>
          <w:pict>
            <v:rect fillcolor="#FFFFFF" style="position:absolute;rotation:-0;width:95pt;height:18pt;mso-wrap-distance-left:9.05pt;mso-wrap-distance-right:9.05pt;mso-wrap-distance-top:0pt;mso-wrap-distance-bottom:0pt;margin-top:2.15pt;mso-position-vertical-relative:text;margin-left:0pt;mso-position-horizontal-relative:margin">
              <v:fill opacity="0f"/>
              <v:textbox inset="0.000694444444444445in,0.000694444444444445in,0.000694444444444445in,0.000694444444444445in">
                <w:txbxContent>
                  <w:p>
                    <w:pPr>
                      <w:pStyle w:val="Footer"/>
                      <w:rPr>
                        <w:sz w:val="16"/>
                      </w:rPr>
                    </w:pPr>
                    <w:r>
                      <w:rPr>
                        <w:sz w:val="16"/>
                      </w:rPr>
                      <w:fldChar w:fldCharType="begin"/>
                    </w:r>
                    <w:r>
                      <w:rPr>
                        <w:sz w:val="16"/>
                      </w:rPr>
                      <w:instrText xml:space="preserve"> KEYWORDS </w:instrText>
                    </w:r>
                    <w:r>
                      <w:rPr>
                        <w:sz w:val="16"/>
                      </w:rPr>
                      <w:fldChar w:fldCharType="separate"/>
                    </w:r>
                    <w:r>
                      <w:rPr>
                        <w:sz w:val="16"/>
                      </w:rPr>
                      <w:t>DN 148979.1 24571 00838</w:t>
                    </w:r>
                    <w:r>
                      <w:rPr>
                        <w:sz w:val="16"/>
                      </w:rPr>
                      <w:fldChar w:fldCharType="end"/>
                    </w:r>
                  </w:p>
                </w:txbxContent>
              </v:textbox>
              <w10:wrap type="none"/>
            </v:rect>
          </w:pict>
        </mc:Fallback>
      </mc:AlternateConten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27305</wp:posOffset>
              </wp:positionV>
              <wp:extent cx="1206500" cy="228600"/>
              <wp:effectExtent l="0" t="0" r="0" b="0"/>
              <wp:wrapNone/>
              <wp:docPr id="2" name="Frame1"/>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rPr>
                              <w:sz w:val="16"/>
                            </w:rPr>
                          </w:pPr>
                          <w:r>
                            <w:rPr>
                              <w:sz w:val="16"/>
                            </w:rPr>
                            <w:fldChar w:fldCharType="begin"/>
                          </w:r>
                          <w:r>
                            <w:rPr>
                              <w:sz w:val="16"/>
                            </w:rPr>
                            <w:instrText xml:space="preserve"> KEYWORDS </w:instrText>
                          </w:r>
                          <w:r>
                            <w:rPr>
                              <w:sz w:val="16"/>
                            </w:rPr>
                            <w:fldChar w:fldCharType="separate"/>
                          </w:r>
                          <w:r>
                            <w:rPr>
                              <w:sz w:val="16"/>
                            </w:rPr>
                            <w:t>DN 148979.1 24571 00838</w:t>
                          </w:r>
                          <w:r>
                            <w:rPr>
                              <w:sz w:val="16"/>
                            </w:rPr>
                            <w:fldChar w:fldCharType="end"/>
                          </w:r>
                        </w:p>
                      </w:txbxContent>
                    </wps:txbx>
                    <wps:bodyPr anchor="t" lIns="635" tIns="635" rIns="635" bIns="635">
                      <a:noAutofit/>
                    </wps:bodyPr>
                  </wps:wsp>
                </a:graphicData>
              </a:graphic>
            </wp:anchor>
          </w:drawing>
        </mc:Choice>
        <mc:Fallback>
          <w:pict>
            <v:rect fillcolor="#FFFFFF" style="position:absolute;rotation:-0;width:95pt;height:18pt;mso-wrap-distance-left:9.05pt;mso-wrap-distance-right:9.05pt;mso-wrap-distance-top:0pt;mso-wrap-distance-bottom:0pt;margin-top:2.15pt;mso-position-vertical-relative:text;margin-left:0pt;mso-position-horizontal-relative:margin">
              <v:fill opacity="0f"/>
              <v:textbox inset="0.000694444444444445in,0.000694444444444445in,0.000694444444444445in,0.000694444444444445in">
                <w:txbxContent>
                  <w:p>
                    <w:pPr>
                      <w:pStyle w:val="Footer"/>
                      <w:rPr>
                        <w:sz w:val="16"/>
                      </w:rPr>
                    </w:pPr>
                    <w:r>
                      <w:rPr>
                        <w:sz w:val="16"/>
                      </w:rPr>
                      <w:fldChar w:fldCharType="begin"/>
                    </w:r>
                    <w:r>
                      <w:rPr>
                        <w:sz w:val="16"/>
                      </w:rPr>
                      <w:instrText xml:space="preserve"> KEYWORDS </w:instrText>
                    </w:r>
                    <w:r>
                      <w:rPr>
                        <w:sz w:val="16"/>
                      </w:rPr>
                      <w:fldChar w:fldCharType="separate"/>
                    </w:r>
                    <w:r>
                      <w:rPr>
                        <w:sz w:val="16"/>
                      </w:rPr>
                      <w:t>DN 148979.1 24571 00838</w:t>
                    </w:r>
                    <w:r>
                      <w:rPr>
                        <w:sz w:val="16"/>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1080"/>
        </w:tabs>
        <w:ind w:start="0" w:firstLine="720"/>
      </w:pPr>
    </w:lvl>
    <w:lvl w:ilvl="2">
      <w:start w:val="1"/>
      <w:pStyle w:val="Heading3"/>
      <w:numFmt w:val="decimal"/>
      <w:lvlText w:val="%3."/>
      <w:lvlJc w:val="start"/>
      <w:pPr>
        <w:tabs>
          <w:tab w:val="num" w:pos="1800"/>
        </w:tabs>
        <w:ind w:start="0" w:firstLine="1440"/>
      </w:pPr>
    </w:lvl>
    <w:lvl w:ilvl="3">
      <w:start w:val="1"/>
      <w:pStyle w:val="Heading4"/>
      <w:numFmt w:val="lowerLetter"/>
      <w:lvlText w:val="(%4)"/>
      <w:lvlJc w:val="start"/>
      <w:pPr>
        <w:tabs>
          <w:tab w:val="num" w:pos="3600"/>
        </w:tabs>
        <w:ind w:start="3600" w:hanging="720"/>
      </w:pPr>
    </w:lvl>
    <w:lvl w:ilvl="4">
      <w:start w:val="1"/>
      <w:pStyle w:val="Heading5"/>
      <w:numFmt w:val="upperLetter"/>
      <w:lvlText w:val="(%5)"/>
      <w:lvlJc w:val="start"/>
      <w:pPr>
        <w:tabs>
          <w:tab w:val="num" w:pos="4320"/>
        </w:tabs>
        <w:ind w:start="4320" w:hanging="720"/>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start"/>
      <w:outlineLvl w:val="0"/>
    </w:pPr>
    <w:rPr>
      <w:b/>
    </w:rPr>
  </w:style>
  <w:style w:type="paragraph" w:styleId="Heading2">
    <w:name w:val="heading 2"/>
    <w:basedOn w:val="Normal"/>
    <w:next w:val="Normal"/>
    <w:qFormat/>
    <w:pPr>
      <w:numPr>
        <w:ilvl w:val="1"/>
        <w:numId w:val="1"/>
      </w:numPr>
      <w:tabs>
        <w:tab w:val="clear" w:pos="720"/>
      </w:tabs>
      <w:outlineLvl w:val="1"/>
    </w:pPr>
    <w:rPr/>
  </w:style>
  <w:style w:type="paragraph" w:styleId="Heading3">
    <w:name w:val="heading 3"/>
    <w:basedOn w:val="Heading2"/>
    <w:next w:val="Normal"/>
    <w:qFormat/>
    <w:pPr>
      <w:numPr>
        <w:ilvl w:val="2"/>
        <w:numId w:val="1"/>
      </w:numPr>
      <w:outlineLvl w:val="2"/>
    </w:pPr>
    <w:rPr/>
  </w:style>
  <w:style w:type="paragraph" w:styleId="Heading4">
    <w:name w:val="heading 4"/>
    <w:basedOn w:val="Heading3"/>
    <w:next w:val="Normal"/>
    <w:qFormat/>
    <w:pPr>
      <w:numPr>
        <w:ilvl w:val="3"/>
        <w:numId w:val="1"/>
      </w:numPr>
      <w:outlineLvl w:val="3"/>
    </w:pPr>
    <w:rPr/>
  </w:style>
  <w:style w:type="paragraph" w:styleId="Heading5">
    <w:name w:val="heading 5"/>
    <w:next w:val="Normal"/>
    <w:qFormat/>
    <w:pPr>
      <w:widowControl/>
      <w:numPr>
        <w:ilvl w:val="4"/>
        <w:numId w:val="1"/>
      </w:numPr>
      <w:bidi w:val="0"/>
      <w:spacing w:before="0" w:after="240"/>
      <w:jc w:val="both"/>
      <w:outlineLvl w:val="4"/>
    </w:pPr>
    <w:rPr>
      <w:rFonts w:ascii="Times New Roman" w:hAnsi="Times New Roman" w:eastAsia="Times New Roman" w:cs="Times New Roman"/>
      <w:color w:val="auto"/>
      <w:sz w:val="24"/>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3">
    <w:name w:val="WW8Num12z3"/>
    <w:qFormat/>
    <w:rPr>
      <w:rFonts w:ascii="Times New Roman" w:hAnsi="Times New Roman" w:cs="Times New Roman"/>
      <w:b w:val="false"/>
      <w:i w:val="false"/>
      <w:sz w:val="24"/>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21z0">
    <w:name w:val="WW8Num21z0"/>
    <w:qFormat/>
    <w:rPr>
      <w:rFonts w:ascii="Times New Roman" w:hAnsi="Times New Roman" w:cs="Times New Roman"/>
      <w:b/>
      <w:i w:val="false"/>
      <w:caps/>
      <w:sz w:val="24"/>
    </w:rPr>
  </w:style>
  <w:style w:type="character" w:styleId="WW8Num21z1">
    <w:name w:val="WW8Num21z1"/>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7z0">
    <w:name w:val="WW8Num27z0"/>
    <w:qFormat/>
    <w:rPr/>
  </w:style>
  <w:style w:type="character" w:styleId="WW8Num28z0">
    <w:name w:val="WW8Num28z0"/>
    <w:qFormat/>
    <w:rPr>
      <w:rFonts w:ascii="Arial" w:hAnsi="Arial" w:cs="Arial"/>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8z1">
    <w:name w:val="WW8Num28z1"/>
    <w:qFormat/>
    <w:rPr>
      <w:rFonts w:ascii="Arial" w:hAnsi="Arial" w:cs="Arial"/>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8z4">
    <w:name w:val="WW8Num28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0z0">
    <w:name w:val="WW8Num30z0"/>
    <w:qFormat/>
    <w:rPr>
      <w:rFonts w:ascii="Times New Roman" w:hAnsi="Times New Roman" w:cs="Times New Roman"/>
      <w:b/>
      <w:i w:val="false"/>
      <w:caps/>
    </w:rPr>
  </w:style>
  <w:style w:type="character" w:styleId="WW8Num30z1">
    <w:name w:val="WW8Num30z1"/>
    <w:qFormat/>
    <w:rPr>
      <w:rFonts w:ascii="Times New Roman" w:hAnsi="Times New Roman" w:cs="Times New Roman"/>
      <w:b/>
      <w:i w:val="false"/>
      <w:sz w:val="24"/>
    </w:rPr>
  </w:style>
  <w:style w:type="character" w:styleId="WW8Num31z0">
    <w:name w:val="WW8Num31z0"/>
    <w:qFormat/>
    <w:rPr/>
  </w:style>
  <w:style w:type="character" w:styleId="WW8Num32z0">
    <w:name w:val="WW8Num32z0"/>
    <w:qFormat/>
    <w:rPr>
      <w:rFonts w:ascii="CG Times" w:hAnsi="CG Times" w:cs="LinePrinter"/>
      <w:b/>
      <w:i w:val="false"/>
      <w:sz w:val="24"/>
    </w:rPr>
  </w:style>
  <w:style w:type="character" w:styleId="WW8Num32z1">
    <w:name w:val="WW8Num32z1"/>
    <w:qFormat/>
    <w:rPr>
      <w:rFonts w:ascii="CG Times" w:hAnsi="CG Times" w:cs="LinePrinter"/>
      <w:b w:val="false"/>
      <w:i w:val="false"/>
      <w:sz w:val="24"/>
    </w:rPr>
  </w:style>
  <w:style w:type="character" w:styleId="WW8Num33z0">
    <w:name w:val="WW8Num33z0"/>
    <w:qFormat/>
    <w:rPr/>
  </w:style>
  <w:style w:type="character" w:styleId="DefaultParagraphFont">
    <w:name w:val="Default Paragraph Font"/>
    <w:qFormat/>
    <w:rPr/>
  </w:style>
  <w:style w:type="character" w:styleId="PageNumber">
    <w:name w:val="page number"/>
    <w:basedOn w:val="DefaultParagraphFont"/>
    <w:rPr/>
  </w:style>
  <w:style w:type="character" w:styleId="InitialStyle">
    <w:name w:val="InitialStyle"/>
    <w:qFormat/>
    <w:rPr>
      <w:rFonts w:ascii="Times New Roman" w:hAnsi="Times New Roman" w:cs="Times New Roman"/>
      <w:color w:val="000000"/>
      <w:sz w:val="24"/>
      <w:lang w:val="en-US"/>
    </w:rPr>
  </w:style>
  <w:style w:type="character" w:styleId="DefaultPara">
    <w:name w:val="Default Para"/>
    <w:qFormat/>
    <w:rPr>
      <w:rFonts w:ascii="Times New Roman" w:hAnsi="Times New Roman" w:cs="Times New Roman"/>
      <w:color w:val="000000"/>
      <w:sz w:val="24"/>
      <w:lang w:val="en-US"/>
    </w:rPr>
  </w:style>
  <w:style w:type="character" w:styleId="FootnoteCharacters">
    <w:name w:val="Footnote Characters"/>
    <w:basedOn w:val="DefaultParagraphFont"/>
    <w:qFormat/>
    <w:rPr>
      <w:vertAlign w:val="superscript"/>
    </w:rPr>
  </w:style>
  <w:style w:type="character" w:styleId="outtext">
    <w:name w:val="outtext"/>
    <w:basedOn w:val="DefaultParagraphFont"/>
    <w:qFormat/>
    <w:rPr>
      <w:color w:val="000000"/>
    </w:rPr>
  </w:style>
  <w:style w:type="character" w:styleId="outtexthidden">
    <w:name w:val="outtexthidden"/>
    <w:basedOn w:val="outtext"/>
    <w:qFormat/>
    <w:rPr>
      <w:vanish/>
    </w:rPr>
  </w:style>
  <w:style w:type="paragraph" w:styleId="Heading">
    <w:name w:val="Heading"/>
    <w:basedOn w:val="Normal"/>
    <w:next w:val="BodyText"/>
    <w:qFormat/>
    <w:pPr>
      <w:jc w:val="center"/>
    </w:pPr>
    <w:rPr>
      <w:b/>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0" w:after="0"/>
    </w:pPr>
    <w:rPr/>
  </w:style>
  <w:style w:type="paragraph" w:styleId="Header">
    <w:name w:val="header"/>
    <w:basedOn w:val="Normal"/>
    <w:pPr>
      <w:tabs>
        <w:tab w:val="clear" w:pos="720"/>
        <w:tab w:val="center" w:pos="4320" w:leader="none"/>
        <w:tab w:val="right" w:pos="8640" w:leader="none"/>
      </w:tabs>
    </w:pPr>
    <w:rPr/>
  </w:style>
  <w:style w:type="paragraph" w:styleId="NumContinue">
    <w:name w:val="Num Continue"/>
    <w:basedOn w:val="BodyText"/>
    <w:qFormat/>
    <w:pPr>
      <w:tabs>
        <w:tab w:val="left" w:pos="-1441" w:leader="none"/>
        <w:tab w:val="left" w:pos="-1080" w:leader="none"/>
        <w:tab w:val="left" w:pos="-72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pPr>
    <w:rPr/>
  </w:style>
  <w:style w:type="paragraph" w:styleId="TOC1">
    <w:name w:val="toc 1"/>
    <w:basedOn w:val="Normal"/>
    <w:next w:val="Normal"/>
    <w:pPr>
      <w:keepNext w:val="true"/>
      <w:tabs>
        <w:tab w:val="clear" w:pos="720"/>
        <w:tab w:val="left" w:pos="2160" w:leader="none"/>
        <w:tab w:val="right" w:pos="9350" w:leader="dot"/>
      </w:tabs>
      <w:spacing w:before="240" w:after="240"/>
      <w:jc w:val="start"/>
    </w:pPr>
    <w:rPr>
      <w:lang w:val="en-CA"/>
    </w:rPr>
  </w:style>
  <w:style w:type="paragraph" w:styleId="TOC2">
    <w:name w:val="toc 2"/>
    <w:basedOn w:val="Normal"/>
    <w:next w:val="Normal"/>
    <w:pPr>
      <w:tabs>
        <w:tab w:val="clear" w:pos="720"/>
        <w:tab w:val="left" w:pos="1440" w:leader="none"/>
        <w:tab w:val="left" w:pos="2160" w:leader="none"/>
        <w:tab w:val="right" w:pos="9350" w:leader="dot"/>
      </w:tabs>
      <w:spacing w:before="0" w:after="0"/>
      <w:ind w:hanging="0" w:start="360" w:end="0"/>
    </w:pPr>
    <w:rPr>
      <w:lang w:val="en-CA"/>
    </w:rPr>
  </w:style>
  <w:style w:type="paragraph" w:styleId="TOC3">
    <w:name w:val="toc 3"/>
    <w:basedOn w:val="Normal"/>
    <w:next w:val="Normal"/>
    <w:pPr>
      <w:ind w:hanging="0" w:start="480" w:end="0"/>
    </w:pPr>
    <w:rPr/>
  </w:style>
  <w:style w:type="paragraph" w:styleId="TOC4">
    <w:name w:val="toc 4"/>
    <w:basedOn w:val="Normal"/>
    <w:next w:val="Normal"/>
    <w:pPr>
      <w:numPr>
        <w:ilvl w:val="0"/>
        <w:numId w:val="2"/>
      </w:numPr>
      <w:tabs>
        <w:tab w:val="clear" w:pos="720"/>
        <w:tab w:val="left" w:pos="360" w:leader="none"/>
        <w:tab w:val="left" w:pos="2160" w:leader="none"/>
        <w:tab w:val="left" w:pos="8475" w:leader="none"/>
        <w:tab w:val="right" w:pos="9166" w:leader="none"/>
      </w:tabs>
      <w:ind w:hanging="360" w:start="36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BodyText2">
    <w:name w:val="Body Text 2"/>
    <w:basedOn w:val="Normal"/>
    <w:qFormat/>
    <w:pPr>
      <w:ind w:firstLine="1440" w:start="0" w:end="0"/>
    </w:pPr>
    <w:rPr>
      <w:color w:val="000000"/>
    </w:rPr>
  </w:style>
  <w:style w:type="paragraph" w:styleId="BodyText3">
    <w:name w:val="Body Text 3"/>
    <w:basedOn w:val="Normal"/>
    <w:qFormat/>
    <w:pPr/>
    <w:rPr>
      <w:color w:val="000000"/>
    </w:rPr>
  </w:style>
  <w:style w:type="paragraph" w:styleId="BodyTextIndent">
    <w:name w:val="Body Text Indent"/>
    <w:basedOn w:val="Normal"/>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tmoore.dot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2000-07-26T14:00:00Z</dcterms:created>
  <dc:creator>IS Department</dc:creator>
  <dc:description/>
  <cp:keywords>DN 148979.1 24571 00838</cp:keywords>
  <dc:language>en-CA</dc:language>
  <cp:lastModifiedBy>IS Department</cp:lastModifiedBy>
  <cp:lastPrinted>2000-07-26T11:24:00Z</cp:lastPrinted>
  <dcterms:modified xsi:type="dcterms:W3CDTF">2000-07-26T14:55:00Z</dcterms:modified>
  <cp:revision>11</cp:revision>
  <dc:subject/>
  <dc:title>OUTLINE OF ANALYSIS</dc:title>
</cp:coreProperties>
</file>