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Univers" w:hAnsi="Univers" w:cs="Univers"/>
          <w:smallCaps/>
          <w:sz w:val="20"/>
          <w:lang w:val="en-CA"/>
        </w:rPr>
      </w:pPr>
      <w:r>
        <w:rPr>
          <w:rFonts w:cs="Univers" w:ascii="Univers" w:hAnsi="Univers"/>
          <w:smallCaps/>
          <w:sz w:val="20"/>
          <w:lang w:val="en-CA"/>
        </w:rPr>
      </w:r>
      <w:r>
        <mc:AlternateContent>
          <mc:Choice Requires="wps">
            <w:drawing>
              <wp:anchor behindDoc="0" distT="0" distB="0" distL="114935" distR="114935" simplePos="0" locked="0" layoutInCell="1" allowOverlap="1" relativeHeight="10">
                <wp:simplePos x="0" y="0"/>
                <wp:positionH relativeFrom="column">
                  <wp:posOffset>0</wp:posOffset>
                </wp:positionH>
                <wp:positionV relativeFrom="paragraph">
                  <wp:posOffset>-457200</wp:posOffset>
                </wp:positionV>
                <wp:extent cx="5943600" cy="1554480"/>
                <wp:effectExtent l="0" t="0" r="0" b="0"/>
                <wp:wrapNone/>
                <wp:docPr id="1" name="Frame1"/>
                <a:graphic xmlns:a="http://schemas.openxmlformats.org/drawingml/2006/main">
                  <a:graphicData uri="http://schemas.microsoft.com/office/word/2010/wordprocessingShape">
                    <wps:wsp>
                      <wps:cNvSpPr txBox="1"/>
                      <wps:spPr>
                        <a:xfrm>
                          <a:off x="0" y="0"/>
                          <a:ext cx="5943600" cy="1554480"/>
                        </a:xfrm>
                        <a:prstGeom prst="rect"/>
                        <a:solidFill>
                          <a:srgbClr val="FFFFFF"/>
                        </a:solidFill>
                      </wps:spPr>
                      <wps:txbx>
                        <w:txbxContent>
                          <w:p>
                            <w:pPr>
                              <w:pStyle w:val="Heading"/>
                              <w:spacing w:before="0" w:after="0"/>
                              <w:rPr/>
                            </w:pPr>
                            <w:r>
                              <w:rPr/>
                              <w:t>LeBoeuf, Lamb, Greene &amp; MacRae</w:t>
                            </w:r>
                          </w:p>
                          <w:p>
                            <w:pPr>
                              <w:pStyle w:val="Normal"/>
                              <w:spacing w:before="0" w:after="0"/>
                              <w:jc w:val="center"/>
                              <w:rPr>
                                <w:rFonts w:ascii="Univers" w:hAnsi="Univers" w:cs="Univers"/>
                                <w:smallCaps/>
                                <w:sz w:val="12"/>
                              </w:rPr>
                            </w:pPr>
                            <w:r>
                              <w:rPr>
                                <w:rFonts w:cs="Univers" w:ascii="Univers" w:hAnsi="Univers"/>
                                <w:smallCaps/>
                                <w:sz w:val="32"/>
                              </w:rPr>
                              <w:t>l.l.p.</w:t>
                            </w:r>
                          </w:p>
                          <w:p>
                            <w:pPr>
                              <w:pStyle w:val="Normal"/>
                              <w:spacing w:before="0" w:after="0"/>
                              <w:jc w:val="center"/>
                              <w:rPr>
                                <w:rFonts w:ascii="Univers" w:hAnsi="Univers" w:cs="Univers"/>
                                <w:smallCaps/>
                                <w:sz w:val="20"/>
                              </w:rPr>
                            </w:pPr>
                            <w:r>
                              <w:rPr>
                                <w:rFonts w:cs="Univers" w:ascii="Univers" w:hAnsi="Univers"/>
                                <w:smallCaps/>
                                <w:sz w:val="12"/>
                              </w:rPr>
                              <w:t>A LIMITED LIABILITY PARTNERSHIP INCLUDING PROFESSIONAL CORPORATIONS</w:t>
                            </w:r>
                          </w:p>
                          <w:p>
                            <w:pPr>
                              <w:pStyle w:val="Normal"/>
                              <w:spacing w:before="0" w:after="0"/>
                              <w:jc w:val="center"/>
                              <w:rPr>
                                <w:rFonts w:ascii="Univers" w:hAnsi="Univers" w:cs="Univers"/>
                                <w:smallCaps/>
                                <w:sz w:val="20"/>
                              </w:rPr>
                            </w:pPr>
                            <w:r>
                              <w:rPr>
                                <w:rFonts w:cs="Univers" w:ascii="Univers" w:hAnsi="Univers"/>
                                <w:smallCaps/>
                                <w:sz w:val="20"/>
                              </w:rPr>
                            </w:r>
                          </w:p>
                          <w:p>
                            <w:pPr>
                              <w:pStyle w:val="Normal"/>
                              <w:spacing w:before="0" w:after="0"/>
                              <w:jc w:val="center"/>
                              <w:rPr>
                                <w:rFonts w:ascii="Univers" w:hAnsi="Univers" w:cs="Univers"/>
                                <w:smallCaps/>
                                <w:sz w:val="20"/>
                              </w:rPr>
                            </w:pPr>
                            <w:r>
                              <w:rPr>
                                <w:rFonts w:cs="Univers" w:ascii="Univers" w:hAnsi="Univers"/>
                                <w:smallCaps/>
                                <w:sz w:val="20"/>
                              </w:rPr>
                              <w:t>633 Seventeenth Street</w:t>
                            </w:r>
                          </w:p>
                          <w:p>
                            <w:pPr>
                              <w:pStyle w:val="Normal"/>
                              <w:spacing w:before="0" w:after="100"/>
                              <w:jc w:val="center"/>
                              <w:rPr>
                                <w:rFonts w:ascii="Univers" w:hAnsi="Univers" w:cs="Univers"/>
                                <w:smallCaps/>
                                <w:sz w:val="20"/>
                              </w:rPr>
                            </w:pPr>
                            <w:r>
                              <w:rPr>
                                <w:rFonts w:cs="Univers" w:ascii="Univers" w:hAnsi="Univers"/>
                                <w:smallCaps/>
                                <w:sz w:val="20"/>
                              </w:rPr>
                              <w:t>Suite 2000</w:t>
                            </w:r>
                          </w:p>
                          <w:p>
                            <w:pPr>
                              <w:pStyle w:val="Normal"/>
                              <w:spacing w:before="0" w:after="240"/>
                              <w:jc w:val="center"/>
                              <w:rPr>
                                <w:rFonts w:ascii="Univers" w:hAnsi="Univers" w:cs="Univers"/>
                                <w:smallCaps/>
                                <w:sz w:val="20"/>
                              </w:rPr>
                            </w:pPr>
                            <w:r>
                              <w:rPr>
                                <w:rFonts w:cs="Univers" w:ascii="Univers" w:hAnsi="Univers"/>
                                <w:smallCaps/>
                                <w:sz w:val="20"/>
                              </w:rPr>
                              <w:t>Denver, CO  80202</w:t>
                            </w:r>
                          </w:p>
                        </w:txbxContent>
                      </wps:txbx>
                      <wps:bodyPr anchor="t" lIns="92075" tIns="46355" rIns="92075" bIns="46355">
                        <a:noAutofit/>
                      </wps:bodyPr>
                    </wps:wsp>
                  </a:graphicData>
                </a:graphic>
              </wp:anchor>
            </w:drawing>
          </mc:Choice>
          <mc:Fallback>
            <w:pict>
              <v:rect fillcolor="#FFFFFF" style="position:absolute;rotation:-0;width:468pt;height:122.4pt;mso-wrap-distance-left:9.05pt;mso-wrap-distance-right:9.05pt;mso-wrap-distance-top:0pt;mso-wrap-distance-bottom:0pt;margin-top:-36pt;mso-position-vertical-relative:text;margin-left:0pt;mso-position-horizontal-relative:text">
                <v:textbox inset="0.100694444444444in,0.0506944444444444in,0.100694444444444in,0.0506944444444444in">
                  <w:txbxContent>
                    <w:p>
                      <w:pPr>
                        <w:pStyle w:val="Heading"/>
                        <w:spacing w:before="0" w:after="0"/>
                        <w:rPr/>
                      </w:pPr>
                      <w:r>
                        <w:rPr/>
                        <w:t>LeBoeuf, Lamb, Greene &amp; MacRae</w:t>
                      </w:r>
                    </w:p>
                    <w:p>
                      <w:pPr>
                        <w:pStyle w:val="Normal"/>
                        <w:spacing w:before="0" w:after="0"/>
                        <w:jc w:val="center"/>
                        <w:rPr>
                          <w:rFonts w:ascii="Univers" w:hAnsi="Univers" w:cs="Univers"/>
                          <w:smallCaps/>
                          <w:sz w:val="12"/>
                        </w:rPr>
                      </w:pPr>
                      <w:r>
                        <w:rPr>
                          <w:rFonts w:cs="Univers" w:ascii="Univers" w:hAnsi="Univers"/>
                          <w:smallCaps/>
                          <w:sz w:val="32"/>
                        </w:rPr>
                        <w:t>l.l.p.</w:t>
                      </w:r>
                    </w:p>
                    <w:p>
                      <w:pPr>
                        <w:pStyle w:val="Normal"/>
                        <w:spacing w:before="0" w:after="0"/>
                        <w:jc w:val="center"/>
                        <w:rPr>
                          <w:rFonts w:ascii="Univers" w:hAnsi="Univers" w:cs="Univers"/>
                          <w:smallCaps/>
                          <w:sz w:val="20"/>
                        </w:rPr>
                      </w:pPr>
                      <w:r>
                        <w:rPr>
                          <w:rFonts w:cs="Univers" w:ascii="Univers" w:hAnsi="Univers"/>
                          <w:smallCaps/>
                          <w:sz w:val="12"/>
                        </w:rPr>
                        <w:t>A LIMITED LIABILITY PARTNERSHIP INCLUDING PROFESSIONAL CORPORATIONS</w:t>
                      </w:r>
                    </w:p>
                    <w:p>
                      <w:pPr>
                        <w:pStyle w:val="Normal"/>
                        <w:spacing w:before="0" w:after="0"/>
                        <w:jc w:val="center"/>
                        <w:rPr>
                          <w:rFonts w:ascii="Univers" w:hAnsi="Univers" w:cs="Univers"/>
                          <w:smallCaps/>
                          <w:sz w:val="20"/>
                        </w:rPr>
                      </w:pPr>
                      <w:r>
                        <w:rPr>
                          <w:rFonts w:cs="Univers" w:ascii="Univers" w:hAnsi="Univers"/>
                          <w:smallCaps/>
                          <w:sz w:val="20"/>
                        </w:rPr>
                      </w:r>
                    </w:p>
                    <w:p>
                      <w:pPr>
                        <w:pStyle w:val="Normal"/>
                        <w:spacing w:before="0" w:after="0"/>
                        <w:jc w:val="center"/>
                        <w:rPr>
                          <w:rFonts w:ascii="Univers" w:hAnsi="Univers" w:cs="Univers"/>
                          <w:smallCaps/>
                          <w:sz w:val="20"/>
                        </w:rPr>
                      </w:pPr>
                      <w:r>
                        <w:rPr>
                          <w:rFonts w:cs="Univers" w:ascii="Univers" w:hAnsi="Univers"/>
                          <w:smallCaps/>
                          <w:sz w:val="20"/>
                        </w:rPr>
                        <w:t>633 Seventeenth Street</w:t>
                      </w:r>
                    </w:p>
                    <w:p>
                      <w:pPr>
                        <w:pStyle w:val="Normal"/>
                        <w:spacing w:before="0" w:after="100"/>
                        <w:jc w:val="center"/>
                        <w:rPr>
                          <w:rFonts w:ascii="Univers" w:hAnsi="Univers" w:cs="Univers"/>
                          <w:smallCaps/>
                          <w:sz w:val="20"/>
                        </w:rPr>
                      </w:pPr>
                      <w:r>
                        <w:rPr>
                          <w:rFonts w:cs="Univers" w:ascii="Univers" w:hAnsi="Univers"/>
                          <w:smallCaps/>
                          <w:sz w:val="20"/>
                        </w:rPr>
                        <w:t>Suite 2000</w:t>
                      </w:r>
                    </w:p>
                    <w:p>
                      <w:pPr>
                        <w:pStyle w:val="Normal"/>
                        <w:spacing w:before="0" w:after="240"/>
                        <w:jc w:val="center"/>
                        <w:rPr>
                          <w:rFonts w:ascii="Univers" w:hAnsi="Univers" w:cs="Univers"/>
                          <w:smallCaps/>
                          <w:sz w:val="20"/>
                        </w:rPr>
                      </w:pPr>
                      <w:r>
                        <w:rPr>
                          <w:rFonts w:cs="Univers" w:ascii="Univers" w:hAnsi="Univers"/>
                          <w:smallCaps/>
                          <w:sz w:val="20"/>
                        </w:rPr>
                        <w:t>Denver, CO  80202</w:t>
                      </w:r>
                    </w:p>
                  </w:txbxContent>
                </v:textbox>
                <w10:wrap type="none"/>
              </v:rect>
            </w:pict>
          </mc:Fallback>
        </mc:AlternateContent>
      </w:r>
    </w:p>
    <w:p>
      <w:pPr>
        <w:pStyle w:val="Normal"/>
        <w:jc w:val="center"/>
        <w:rPr>
          <w:rFonts w:ascii="Univers" w:hAnsi="Univers" w:cs="Univers"/>
          <w:smallCaps/>
          <w:sz w:val="20"/>
        </w:rPr>
      </w:pPr>
      <w:r>
        <w:rPr>
          <w:rFonts w:cs="Univers" w:ascii="Univers" w:hAnsi="Univers"/>
          <w:smallCaps/>
          <w:sz w:val="20"/>
        </w:rPr>
      </w:r>
    </w:p>
    <w:p>
      <w:pPr>
        <w:pStyle w:val="Normal"/>
        <w:jc w:val="center"/>
        <w:rPr>
          <w:rFonts w:ascii="Univers" w:hAnsi="Univers" w:cs="Univers"/>
          <w:smallCaps/>
          <w:sz w:val="20"/>
        </w:rPr>
      </w:pPr>
      <w:r>
        <w:rPr>
          <w:rFonts w:cs="Univers" w:ascii="Univers" w:hAnsi="Univers"/>
          <w:smallCaps/>
          <w:sz w:val="20"/>
        </w:rPr>
      </w:r>
    </w:p>
    <w:p>
      <w:pPr>
        <w:pStyle w:val="Normal"/>
        <w:numPr>
          <w:ilvl w:val="0"/>
          <w:numId w:val="0"/>
        </w:numPr>
        <w:tabs>
          <w:tab w:val="clear" w:pos="720"/>
          <w:tab w:val="left" w:pos="1440" w:leader="none"/>
        </w:tabs>
        <w:spacing w:before="1440" w:after="0"/>
        <w:ind w:hanging="1440" w:start="1440" w:end="0"/>
        <w:jc w:val="center"/>
        <w:outlineLvl w:val="0"/>
        <w:rPr>
          <w:b/>
        </w:rPr>
      </w:pPr>
      <w:r>
        <w:rPr>
          <w:b/>
        </w:rPr>
        <w:t>PRIVILEGED AND CONFIDENTIAL-- SUBJECT</w:t>
      </w:r>
    </w:p>
    <w:p>
      <w:pPr>
        <w:pStyle w:val="Normal"/>
        <w:numPr>
          <w:ilvl w:val="0"/>
          <w:numId w:val="0"/>
        </w:numPr>
        <w:tabs>
          <w:tab w:val="clear" w:pos="720"/>
          <w:tab w:val="left" w:pos="1440" w:leader="none"/>
        </w:tabs>
        <w:spacing w:before="0" w:after="0"/>
        <w:ind w:hanging="1440" w:start="1440" w:end="0"/>
        <w:jc w:val="center"/>
        <w:outlineLvl w:val="0"/>
        <w:rPr>
          <w:b/>
        </w:rPr>
      </w:pPr>
      <w:r>
        <w:rPr>
          <w:b/>
        </w:rPr>
        <w:t xml:space="preserve">TO ATTORNEY-CLIENT AND </w:t>
      </w:r>
    </w:p>
    <w:p>
      <w:pPr>
        <w:pStyle w:val="Normal"/>
        <w:numPr>
          <w:ilvl w:val="0"/>
          <w:numId w:val="0"/>
        </w:numPr>
        <w:tabs>
          <w:tab w:val="clear" w:pos="720"/>
          <w:tab w:val="left" w:pos="1440" w:leader="none"/>
        </w:tabs>
        <w:spacing w:before="0" w:after="0"/>
        <w:ind w:hanging="1440" w:start="1440" w:end="0"/>
        <w:jc w:val="center"/>
        <w:outlineLvl w:val="0"/>
        <w:rPr>
          <w:b/>
        </w:rPr>
      </w:pPr>
      <w:r>
        <w:rPr>
          <w:b/>
        </w:rPr>
        <w:t>ATTORNEY WORK PRODUCT PRIVILEGES</w:t>
      </w:r>
    </w:p>
    <w:p>
      <w:pPr>
        <w:pStyle w:val="Normal"/>
        <w:tabs>
          <w:tab w:val="clear" w:pos="720"/>
          <w:tab w:val="left" w:pos="1440" w:leader="none"/>
        </w:tabs>
        <w:spacing w:before="0" w:after="0"/>
        <w:ind w:hanging="1440" w:start="1440" w:end="0"/>
        <w:jc w:val="center"/>
        <w:rPr>
          <w:b/>
        </w:rPr>
      </w:pPr>
      <w:r>
        <w:rPr>
          <w:b/>
        </w:rPr>
      </w:r>
    </w:p>
    <w:p>
      <w:pPr>
        <w:pStyle w:val="Normal"/>
        <w:tabs>
          <w:tab w:val="clear" w:pos="720"/>
          <w:tab w:val="left" w:pos="1440" w:leader="none"/>
        </w:tabs>
        <w:spacing w:before="0" w:after="0"/>
        <w:ind w:hanging="1440" w:start="1440" w:end="0"/>
        <w:jc w:val="center"/>
        <w:rPr/>
      </w:pPr>
      <w:r>
        <w:rPr/>
      </w:r>
    </w:p>
    <w:p>
      <w:pPr>
        <w:pStyle w:val="Normal"/>
        <w:tabs>
          <w:tab w:val="clear" w:pos="720"/>
          <w:tab w:val="left" w:pos="1440" w:leader="none"/>
        </w:tabs>
        <w:spacing w:before="0" w:after="0"/>
        <w:ind w:hanging="1440" w:start="1440" w:end="0"/>
        <w:jc w:val="center"/>
        <w:rPr/>
      </w:pPr>
      <w:r>
        <w:rPr/>
        <w:fldChar w:fldCharType="begin"/>
      </w:r>
      <w:r>
        <w:rPr/>
        <w:instrText xml:space="preserve"> DATE \@"MMMM\ d', 'yyyy" </w:instrText>
      </w:r>
      <w:r>
        <w:rPr/>
        <w:fldChar w:fldCharType="separate"/>
      </w:r>
      <w:r>
        <w:rPr/>
        <w:t>September 28, 2025</w:t>
      </w:r>
      <w:r>
        <w:rPr/>
        <w:fldChar w:fldCharType="end"/>
      </w:r>
    </w:p>
    <w:p>
      <w:pPr>
        <w:pStyle w:val="Normal"/>
        <w:tabs>
          <w:tab w:val="clear" w:pos="720"/>
          <w:tab w:val="left" w:pos="1440" w:leader="none"/>
        </w:tabs>
        <w:spacing w:before="500" w:after="240"/>
        <w:ind w:hanging="1440" w:start="1440" w:end="0"/>
        <w:rPr/>
      </w:pPr>
      <w:r>
        <w:rPr>
          <w:rFonts w:cs="Arial" w:ascii="Arial" w:hAnsi="Arial"/>
          <w:smallCaps/>
          <w:sz w:val="22"/>
        </w:rPr>
        <w:t>TO:</w:t>
        <w:tab/>
      </w:r>
      <w:r>
        <w:rPr/>
        <w:t>Dan Lyons</w:t>
      </w:r>
    </w:p>
    <w:p>
      <w:pPr>
        <w:pStyle w:val="Normal"/>
        <w:numPr>
          <w:ilvl w:val="0"/>
          <w:numId w:val="0"/>
        </w:numPr>
        <w:tabs>
          <w:tab w:val="clear" w:pos="720"/>
          <w:tab w:val="left" w:pos="1440" w:leader="none"/>
        </w:tabs>
        <w:ind w:hanging="2160" w:start="2160" w:end="0"/>
        <w:outlineLvl w:val="0"/>
        <w:rPr/>
      </w:pPr>
      <w:r>
        <w:rPr>
          <w:rFonts w:cs="Arial" w:ascii="Arial" w:hAnsi="Arial"/>
          <w:smallCaps/>
          <w:sz w:val="22"/>
        </w:rPr>
        <w:t>FROM:</w:t>
        <w:tab/>
      </w:r>
      <w:r>
        <w:rPr/>
        <w:fldChar w:fldCharType="begin"/>
      </w:r>
      <w:r>
        <w:rPr/>
        <w:instrText xml:space="preserve"> FILLIN "Sender"</w:instrText>
      </w:r>
      <w:r>
        <w:rPr/>
        <w:fldChar w:fldCharType="separate"/>
      </w:r>
      <w:r>
        <w:rPr/>
        <w:t>LeBoeuf, Lamb, Greene &amp; MacRae, LLP</w:t>
      </w:r>
      <w:r>
        <w:rPr/>
        <w:fldChar w:fldCharType="end"/>
      </w:r>
    </w:p>
    <w:p>
      <w:pPr>
        <w:pStyle w:val="Normal"/>
        <w:tabs>
          <w:tab w:val="clear" w:pos="720"/>
          <w:tab w:val="left" w:pos="1440" w:leader="none"/>
        </w:tabs>
        <w:spacing w:before="0" w:after="480"/>
        <w:ind w:hanging="1440" w:start="1440" w:end="0"/>
        <w:rPr>
          <w:b/>
          <w:u w:val="single"/>
        </w:rPr>
      </w:pPr>
      <w:r>
        <w:rPr>
          <w:rFonts w:cs="Arial" w:ascii="Arial" w:hAnsi="Arial"/>
          <w:smallCaps/>
          <w:sz w:val="22"/>
        </w:rPr>
        <w:t>RE:</w:t>
        <w:tab/>
      </w:r>
      <w:r>
        <w:rPr>
          <w:b/>
        </w:rPr>
        <w:t>Measurement of Damages under the Power Purchase Agreement (the “PPA”) between Brazos Electric Cooperative, Inc. (“Brazos”) and Tenaska IV Texas Partners, Ltd. (the “Project Company”)</w:t>
      </w:r>
    </w:p>
    <w:p>
      <w:pPr>
        <w:pStyle w:val="BodyText"/>
        <w:ind w:firstLine="1440" w:end="0"/>
        <w:rPr/>
      </w:pPr>
      <w:r>
        <w:rPr/>
        <w:t>The purpose of this Memorandum is to analyze what the appropriate measure of damages for the Project Company would be in the event that Brazos repudiates the PPA.</w:t>
      </w:r>
    </w:p>
    <w:p>
      <w:pPr>
        <w:pStyle w:val="Heading1"/>
        <w:ind w:firstLine="720" w:start="0"/>
        <w:rPr>
          <w:u w:val="single"/>
        </w:rPr>
      </w:pPr>
      <w:r>
        <w:rPr/>
        <w:t>BACKGROUND</w:t>
      </w:r>
    </w:p>
    <w:p>
      <w:pPr>
        <w:pStyle w:val="BodyTextIndent"/>
        <w:tabs>
          <w:tab w:val="clear" w:pos="720"/>
          <w:tab w:val="left" w:pos="0" w:leader="none"/>
        </w:tabs>
        <w:ind w:firstLine="1440" w:end="0"/>
        <w:rPr/>
      </w:pPr>
      <w:r>
        <w:rPr/>
        <w:t>Brazos and the Project Company have been involved in ongoing disputes regarding the terms of the PPA.  In connection with these disputes, Brazos and the Project Company have discussed what they believe would be the appropriate measure of damages payable to the Project Company under the PPA in the event Brazos repudiates its obligations under the PPA</w:t>
      </w:r>
      <w:r>
        <w:rPr>
          <w:rStyle w:val="FootnoteCharacters"/>
          <w:rStyle w:val="FootnoteReference"/>
        </w:rPr>
        <w:footnoteReference w:id="2"/>
      </w:r>
      <w:r>
        <w:rPr/>
        <w:t xml:space="preserve">.  In a letter dated April 17, 2000, from Clifton Karnei of Brazos to Larry Pearson of Tenaska, Brazos stated that it believed that the Project Company would face a serious risk that it would be unable to recover as damages any of the annual escalation of scheduled capacity rates after the time of repudiation.  Brazos based its assertion on Section 6-8 of </w:t>
      </w:r>
      <w:r>
        <w:rPr>
          <w:smallCaps/>
        </w:rPr>
        <w:t xml:space="preserve">James J. White and Robert S. Summers, Uniform Commercial Code </w:t>
      </w:r>
      <w:r>
        <w:rPr/>
        <w:t xml:space="preserve"> (4</w:t>
      </w:r>
      <w:r>
        <w:rPr>
          <w:vertAlign w:val="superscript"/>
        </w:rPr>
        <w:t>th</w:t>
      </w:r>
      <w:r>
        <w:rPr/>
        <w:t xml:space="preserve"> Ed. 1995), a copy of which was attached it its April 17 letter, in which the authors discussed their view of the appropriate measure of damages after an anticipatory breach of a long-term contract governed by Article 2 of the Uniform Commercial Code (“UCC”).  </w:t>
      </w:r>
    </w:p>
    <w:p>
      <w:pPr>
        <w:pStyle w:val="BodyTextIndent"/>
        <w:ind w:firstLine="1440" w:end="0"/>
        <w:rPr/>
      </w:pPr>
      <w:r>
        <w:rPr/>
        <w:t>Section 2-708(1) of the UCC provides that one measure of damages in the event of the anticipatory repudiation of a contract by buyer is “the difference between the market price at the time and place for tender and the unpaid contract price”.  Section 2-723(1) of the UCC further provides that if an action based on anticipatory repudiation comes to trial before the time for performance with respect to some or all of the goods, any damages based on market price shall be determined “according to the price of such goods prevailing at the time when the aggrieved party learned of the repudiation.”</w:t>
      </w:r>
    </w:p>
    <w:p>
      <w:pPr>
        <w:pStyle w:val="BodyTextIndent"/>
        <w:ind w:firstLine="1440" w:end="0"/>
        <w:rPr/>
      </w:pPr>
      <w:r>
        <w:rPr/>
        <w:t>Under the PPA, the Project Company receives a contract price consisting of two separate components.  Section 9.02 provides that the Project Company is entitled to firm monthly capacity payments for the term of the agreement equal to 258 MW (the capacity dedicated to Brazos) multiplied by a scheduled annual capacity rate.  Pursuant to Section 9.03, the Project Company is also entitled to additional monthly payments for any energy actually delivered to Brazos equal to the amount of energy multiplied by a scheduled energy rate.  Both the scheduled capacity rate and the scheduled energy rate increase each year and are subject to adjustment in certain circumstances.</w:t>
      </w:r>
    </w:p>
    <w:p>
      <w:pPr>
        <w:pStyle w:val="BodyTextIndent"/>
        <w:ind w:firstLine="1440" w:end="0"/>
        <w:rPr/>
      </w:pPr>
      <w:r>
        <w:rPr/>
        <w:t>Without citing any authority on point,</w:t>
      </w:r>
      <w:r>
        <w:rPr>
          <w:rStyle w:val="FootnoteCharacters"/>
          <w:rStyle w:val="FootnoteReference"/>
        </w:rPr>
        <w:footnoteReference w:id="3"/>
      </w:r>
      <w:r>
        <w:rPr/>
        <w:t xml:space="preserve"> Professors White and Summers suggest that both the contract price and the market price should be determined at the time when the aggrieved party learned of the repudiation.  The effect of this interpretation could be to read out of the PPA the increases that are built into the scheduled capacity and energy prices which Brazos is obligated to pay.</w:t>
      </w:r>
    </w:p>
    <w:p>
      <w:pPr>
        <w:pStyle w:val="BodyText"/>
        <w:ind w:firstLine="1440" w:end="0"/>
        <w:rPr/>
      </w:pPr>
      <w:r>
        <w:rPr/>
        <w:t>In order to evaluate the merits of Brazos’ assertion, the following discussion anlayzes the appropriate measure of damages is under Texas law when a buyer repudiates a long-term contract such as the PPA.  Contrary to Brazos’ implied assertion, it is not clear whether that the UCC is applicable to the capacity sales portion of the PPA.  But even if it is, the case law in Texas and elsewhere is quite clear that the increases built into the scheduled energy prices will be used in the calculation of damages and, in fact, the provision of the PPA which specifies a “buy-out” price for Brazos is likely to be treated as determining the damages payable by Brazos.</w:t>
      </w:r>
    </w:p>
    <w:p>
      <w:pPr>
        <w:pStyle w:val="Heading1"/>
        <w:ind w:firstLine="720" w:start="0"/>
        <w:rPr/>
      </w:pPr>
      <w:r>
        <w:rPr/>
        <w:t>ANALYSIS</w:t>
      </w:r>
    </w:p>
    <w:p>
      <w:pPr>
        <w:pStyle w:val="Heading2"/>
        <w:keepNext w:val="true"/>
        <w:numPr>
          <w:ilvl w:val="0"/>
          <w:numId w:val="0"/>
        </w:numPr>
        <w:ind w:hanging="720" w:start="1440" w:end="0"/>
        <w:rPr/>
      </w:pPr>
      <w:r>
        <w:rPr/>
        <w:t>A.</w:t>
        <w:tab/>
      </w:r>
      <w:r>
        <w:rPr>
          <w:u w:val="single"/>
        </w:rPr>
        <w:t>Applicability of the UCC</w:t>
      </w:r>
      <w:r>
        <w:rPr/>
        <w:t xml:space="preserve">.  </w:t>
      </w:r>
    </w:p>
    <w:p>
      <w:pPr>
        <w:pStyle w:val="Normal"/>
        <w:ind w:firstLine="1440" w:end="0"/>
        <w:rPr/>
      </w:pPr>
      <w:r>
        <w:rPr/>
        <w:t>Brazos’ position regarding the damages payable upon repudiation of the PPA appears to rest entirely on the view of Professors White and Summers as to the appropriate measure of damages under Sections 2-708(1) and 2-723(1) of the UCC.  As is the case with the entirety of Article 2 of the UCC, these provisions are applicable only to transactions in “goods.”</w:t>
      </w:r>
    </w:p>
    <w:p>
      <w:pPr>
        <w:pStyle w:val="Normal"/>
        <w:ind w:firstLine="1440" w:end="0"/>
        <w:rPr/>
      </w:pPr>
      <w:r>
        <w:rPr/>
        <w:t xml:space="preserve">Section 2-105(1) of the UCC defines “goods” (with certain exceptions not relevant here) to mean “all things (including specifically manufactured goods) which are removable at the time of identification to the contract for sale . . . .”  </w:t>
      </w:r>
      <w:r>
        <w:rPr>
          <w:u w:val="single"/>
        </w:rPr>
        <w:t>In Houston Lighting &amp; Power Co. v. Reynolds</w:t>
      </w:r>
      <w:r>
        <w:rPr/>
        <w:t xml:space="preserve">, 765 S.Co. 2d 784 (Sup. Ct. Texas 1988), the Texas Supreme Court held in the context of a product liability case that “electricity” was a “product,” and noted, that “like other goods,” could be “manufactured, transported and sold.”  </w:t>
      </w:r>
      <w:r>
        <w:rPr>
          <w:u w:val="single"/>
        </w:rPr>
        <w:t>Id</w:t>
      </w:r>
      <w:r>
        <w:rPr/>
        <w:t xml:space="preserve">.  In so holding, the Court expressly disapproved of the contrary holding of the Texas Court of Appeals in </w:t>
      </w:r>
      <w:r>
        <w:rPr>
          <w:u w:val="single"/>
        </w:rPr>
        <w:t>Navarro County Electric Cooperative, Inc. v. Price</w:t>
      </w:r>
      <w:r>
        <w:rPr/>
        <w:t xml:space="preserve">, 640 S.W.2d 398 (Tex. App. 1982) – also a products liability case but expressly interpreting Section 2-314 of the UCC – that electricity is not a “good.” </w:t>
      </w:r>
    </w:p>
    <w:p>
      <w:pPr>
        <w:pStyle w:val="Normal"/>
        <w:ind w:firstLine="1440" w:end="0"/>
        <w:rPr/>
      </w:pPr>
      <w:r>
        <w:rPr/>
        <w:t xml:space="preserve">Although </w:t>
      </w:r>
      <w:r>
        <w:rPr>
          <w:u w:val="single"/>
        </w:rPr>
        <w:t>Houston Lighting &amp; Power</w:t>
      </w:r>
      <w:r>
        <w:rPr/>
        <w:t xml:space="preserve"> clearly holds that electricity is a “good,” and therefore, by extension, that contracts for the sale of electricity are governed by Article 2 of the UCC, it is less clear that contracts for the sale of generation “capacity” involve transactions in “goods” and are subject to Article 2.</w:t>
      </w:r>
    </w:p>
    <w:p>
      <w:pPr>
        <w:pStyle w:val="Normal"/>
        <w:ind w:firstLine="1440" w:end="0"/>
        <w:rPr/>
      </w:pPr>
      <w:r>
        <w:rPr/>
        <w:t xml:space="preserve">In </w:t>
      </w:r>
      <w:r>
        <w:rPr>
          <w:u w:val="single"/>
        </w:rPr>
        <w:t>Grace v. Zimmerman</w:t>
      </w:r>
      <w:r>
        <w:rPr/>
        <w:t xml:space="preserve">, 853 S.W.2d 92 (Tex. App. 1993), decided five years after </w:t>
      </w:r>
      <w:r>
        <w:rPr>
          <w:u w:val="single"/>
        </w:rPr>
        <w:t>Houston Lighting &amp; Power</w:t>
      </w:r>
      <w:r>
        <w:rPr/>
        <w:t xml:space="preserve">, the Texas Court of Appeals held that a contract for the sale of sewer capacity for a large high-rise condominium was not a contract for the sale of “goods” so as to bring it under Article 2 of the UCC.  In reaching this conclusion the Court found that the contract involved the sale of rights to a “temporary reservation of sewer services” and these rights were not goods within the meaning of the UCC.  (The Court cited </w:t>
      </w:r>
      <w:r>
        <w:rPr>
          <w:u w:val="single"/>
        </w:rPr>
        <w:t>Navarro</w:t>
      </w:r>
      <w:r>
        <w:rPr/>
        <w:t xml:space="preserve"> for the proposition that transmission of electricity did not involve the sale of goods and did not cite </w:t>
      </w:r>
      <w:r>
        <w:rPr>
          <w:u w:val="single"/>
        </w:rPr>
        <w:t>Houston Lighting &amp; Power</w:t>
      </w:r>
      <w:r>
        <w:rPr/>
        <w:t xml:space="preserve"> at all.)</w:t>
      </w:r>
    </w:p>
    <w:p>
      <w:pPr>
        <w:pStyle w:val="Normal"/>
        <w:ind w:firstLine="1440" w:end="0"/>
        <w:rPr/>
      </w:pPr>
      <w:r>
        <w:rPr/>
        <w:t xml:space="preserve">If a court focuses on the distinction between “capacity” and “energy” rather than lumping these concepts together as “electricity,” it may be hard to interpret a capacity sale as the sale of a “good.”  Although capacity, like other services, can be sold, it cannot be “manufactured” or “transported,” which are two of the indicia of “goods” recited by the Texas Supreme Court.  It is much more similar to the reservation of services found not to be a good in </w:t>
      </w:r>
      <w:r>
        <w:rPr>
          <w:u w:val="single"/>
        </w:rPr>
        <w:t>Grace</w:t>
      </w:r>
      <w:r>
        <w:rPr/>
        <w:t>.</w:t>
      </w:r>
    </w:p>
    <w:p>
      <w:pPr>
        <w:pStyle w:val="Normal"/>
        <w:ind w:firstLine="1440" w:end="0"/>
        <w:rPr/>
      </w:pPr>
      <w:r>
        <w:rPr/>
        <w:t xml:space="preserve">In fact, the Texas Supreme Court has recognized the distinction between reserving capacity and the sale of the underlying commodity.  In </w:t>
      </w:r>
      <w:r>
        <w:rPr>
          <w:u w:val="single"/>
        </w:rPr>
        <w:t>Lenape Resources Corporation v. Pomfret</w:t>
      </w:r>
      <w:r>
        <w:rPr/>
        <w:t xml:space="preserve">, 925 S.W. 2d 565 (Sup. Ct. Texas 1996), which involved the question of whether a gas take-or-pay contract was subject to the requirement of good faith and fair dealing codified in Section 2-306 of the UCC, the Texas Supreme Court held that the obligation of the purchaser under a gas take-or-pay contract to make payments in lieu of taking gas was not “a payment for the sale of gas . . . .  Rather, it is a payment for the exclusive dedication of reserves for a fixed period of time.”  </w:t>
      </w:r>
      <w:r>
        <w:rPr>
          <w:u w:val="single"/>
        </w:rPr>
        <w:t>Id</w:t>
      </w:r>
      <w:r>
        <w:rPr/>
        <w:t xml:space="preserve">. at 570.  Although the issue in </w:t>
      </w:r>
      <w:r>
        <w:rPr>
          <w:u w:val="single"/>
        </w:rPr>
        <w:t>Lenape</w:t>
      </w:r>
      <w:r>
        <w:rPr/>
        <w:t xml:space="preserve"> was not whether a gas take-or-pay contract was subject to Article 2 (it undoubtedly was), the distinction of capacity and the sale of the underlying commodity suggests that notwithstanding </w:t>
      </w:r>
      <w:r>
        <w:rPr>
          <w:u w:val="single"/>
        </w:rPr>
        <w:t>Houston Lighting &amp; Power</w:t>
      </w:r>
      <w:r>
        <w:rPr/>
        <w:t>, the Texas Supreme Court may well draw a distinction between the sale of electric energy and the sale of electric capacity and hold that a sale of capacity does not involve the sale of a “good.”</w:t>
      </w:r>
    </w:p>
    <w:p>
      <w:pPr>
        <w:pStyle w:val="Normal"/>
        <w:ind w:firstLine="1440" w:end="0"/>
        <w:rPr/>
      </w:pPr>
      <w:r>
        <w:rPr/>
        <w:t>Because the applicability of Article 2 of the UCC is not entirely clear, the following analysis assumes alternatively that the UCC is applicable and is not applicable.  As the remainder of this Memorandum makes clear, the applicability of the UCC is not really determinative of the appropriate measure of damages upon repudiation by Brazos.</w:t>
      </w:r>
    </w:p>
    <w:p>
      <w:pPr>
        <w:pStyle w:val="BodyTextIndent"/>
        <w:rPr/>
      </w:pPr>
      <w:r>
        <w:rPr>
          <w:b/>
        </w:rPr>
        <w:t>B.</w:t>
        <w:tab/>
      </w:r>
      <w:r>
        <w:rPr>
          <w:b/>
          <w:u w:val="single"/>
        </w:rPr>
        <w:t>The Effect of Section 11.02 of the PPA</w:t>
      </w:r>
      <w:r>
        <w:rPr>
          <w:b/>
        </w:rPr>
        <w:t xml:space="preserve">.  </w:t>
      </w:r>
    </w:p>
    <w:p>
      <w:pPr>
        <w:pStyle w:val="BodyTextIndent"/>
        <w:ind w:firstLine="1440" w:end="0"/>
        <w:rPr/>
      </w:pPr>
      <w:r>
        <w:rPr/>
        <w:t xml:space="preserve">Section 2-719(a)(1) of the UCC provides that the parties to an agreement for the sale of goods may provide for remedies in addition to or in substitution for those provided elsewhere in Article 2.  Section 2-719(a)(2) of the UCC further provides that resort to a remedy specified in the contract is optional unless the remedy is expressly agreed to be exclusive.  </w:t>
      </w:r>
    </w:p>
    <w:p>
      <w:pPr>
        <w:pStyle w:val="BodyTextIndent"/>
        <w:ind w:firstLine="1440" w:end="0"/>
        <w:rPr/>
      </w:pPr>
      <w:r>
        <w:rPr/>
        <w:t xml:space="preserve">Texas courts have recognized that the effect of Section 2-719(a)(2) of the UCC is to make the specific remedies provided in a contract additional to the remedies otherwise provided in the UCC.  </w:t>
      </w:r>
      <w:r>
        <w:rPr>
          <w:u w:val="single"/>
        </w:rPr>
        <w:t>See</w:t>
      </w:r>
      <w:r>
        <w:rPr/>
        <w:t xml:space="preserve"> </w:t>
      </w:r>
      <w:r>
        <w:rPr>
          <w:u w:val="single"/>
        </w:rPr>
        <w:t>Global Octanes Texas, L.P.</w:t>
      </w:r>
      <w:r>
        <w:rPr/>
        <w:t xml:space="preserve"> </w:t>
      </w:r>
      <w:r>
        <w:rPr>
          <w:u w:val="single"/>
        </w:rPr>
        <w:t>v. BP Exploration &amp; Oil, Inc.</w:t>
      </w:r>
      <w:r>
        <w:rPr/>
        <w:t>, 154 F.2d 518 (5</w:t>
      </w:r>
      <w:r>
        <w:rPr>
          <w:vertAlign w:val="superscript"/>
        </w:rPr>
        <w:t>th</w:t>
      </w:r>
      <w:r>
        <w:rPr/>
        <w:t xml:space="preserve"> Cir. 1998) and </w:t>
      </w:r>
      <w:r>
        <w:rPr>
          <w:u w:val="single"/>
        </w:rPr>
        <w:t>McFadden v. Fuentes</w:t>
      </w:r>
      <w:r>
        <w:rPr/>
        <w:t xml:space="preserve">, 790 S.W.2d 736 (Tex. App. 1990).  As a result, the injured party may at its discretion elect to exercise either the remedies provided to it under the UCC or those additional remedies provided to it under the contract and the breaching party cannot object to the remedy elected by the injured party.  </w:t>
      </w:r>
      <w:r>
        <w:rPr>
          <w:u w:val="single"/>
        </w:rPr>
        <w:t>Council Brothers, Inc. v. Ray Burner Corp.</w:t>
      </w:r>
      <w:r>
        <w:rPr/>
        <w:t>, 473 F.2d 400 (5</w:t>
      </w:r>
      <w:r>
        <w:rPr>
          <w:vertAlign w:val="superscript"/>
        </w:rPr>
        <w:t>th</w:t>
      </w:r>
      <w:r>
        <w:rPr/>
        <w:t xml:space="preserve"> Cir. 1973).</w:t>
      </w:r>
    </w:p>
    <w:p>
      <w:pPr>
        <w:pStyle w:val="Normal"/>
        <w:ind w:firstLine="1440" w:end="0"/>
        <w:rPr/>
      </w:pPr>
      <w:r>
        <w:rPr/>
        <w:t>Section 11.02 of the PPA provides, in the event that Brazos determines in good faith that the PPA will cause it to be not competitive with other utilities with which it is in competition, that Brazos may terminate the PPA upon one year’s notice to the Project Company.  If it terminates the PPA pursuant to Section 11.02, Brazos must, at the Project Company’s election, either:</w:t>
      </w:r>
    </w:p>
    <w:p>
      <w:pPr>
        <w:pStyle w:val="BodyTextIndent2"/>
        <w:rPr/>
      </w:pPr>
      <w:r>
        <w:rPr/>
        <w:t>(i)</w:t>
        <w:tab/>
        <w:t xml:space="preserve">pay the Project Company the </w:t>
      </w:r>
      <w:r>
        <w:rPr>
          <w:u w:val="single"/>
        </w:rPr>
        <w:t>greater</w:t>
      </w:r>
      <w:r>
        <w:rPr/>
        <w:t xml:space="preserve"> of the fair market value of the plant (determined by appraisal) or the net present value (discounted at 5%) of the scheduled capacity payments (exclusive of a scheduled Operations and Maintenance component of the scheduled capacity payments); in which case, the Project Company is obligated to transfer the plant to Brazos; or</w:t>
      </w:r>
    </w:p>
    <w:p>
      <w:pPr>
        <w:pStyle w:val="BodyTextIndent2"/>
        <w:rPr/>
      </w:pPr>
      <w:r>
        <w:rPr/>
        <w:t>(ii)</w:t>
        <w:tab/>
        <w:t>pay to the Project Company the difference between the discounted capacity payments and the fair market value of the plant without the PPA and, possibly, without the gas contracts; in which case, the Project Company may keep the plant.</w:t>
      </w:r>
    </w:p>
    <w:p>
      <w:pPr>
        <w:pStyle w:val="BodyText"/>
        <w:rPr/>
      </w:pPr>
      <w:r>
        <w:rPr/>
        <w:t>We understand that a preliminary calculation of the discounted present value of the scheduled capacity payments, as reduced by the scheduled “Operations and Maintenance component” of those payments, is in the range of $450 million.</w:t>
      </w:r>
    </w:p>
    <w:p>
      <w:pPr>
        <w:pStyle w:val="Normal"/>
        <w:rPr/>
      </w:pPr>
      <w:r>
        <w:rPr/>
        <w:t>Although the “buy-out” provision contained in Section 11.02 of the PPA is not expressly denominated as a “remedy” on repudiation, it is difficult to imagine how a court or arbitrator would allow Brazos to avoid the clear agreement of the parties as to the payment that Brazos is obligated to make in order to avoid performance under the PPA on the technicality that the parties did not denominate that amount as damages for repudiation.  Similar issues have been extensively litigated in the context of gas take-or-pay contracts with consistently favorable results.</w:t>
      </w:r>
    </w:p>
    <w:p>
      <w:pPr>
        <w:pStyle w:val="Normal"/>
        <w:ind w:firstLine="1440" w:end="0"/>
        <w:rPr/>
      </w:pPr>
      <w:r>
        <w:rPr/>
        <w:t>In a typical take-or-pay contract, the contract gives the gas purchaser the option between either purchasing gas or making payments in lieu of making purchases.  The economic effect of a take-or-pay contract is to provide the gas purchaser with an agreed revenue stream, regardless of whether or not the purchaser needs the gas or can resell the gas at a profit.</w:t>
      </w:r>
    </w:p>
    <w:p>
      <w:pPr>
        <w:pStyle w:val="Normal"/>
        <w:ind w:firstLine="1440" w:end="0"/>
        <w:rPr/>
      </w:pPr>
      <w:r>
        <w:rPr/>
        <w:t xml:space="preserve">Courts dealing with take-or-pay obligations have consistently analyzed the options as alternative “remedy” provisions.  For example, in </w:t>
      </w:r>
      <w:r>
        <w:rPr>
          <w:u w:val="single"/>
        </w:rPr>
        <w:t>Prenalta Corporation v. Colorado Interstate Gas Company</w:t>
      </w:r>
      <w:r>
        <w:rPr/>
        <w:t>, 944 F.2d 677 (10</w:t>
      </w:r>
      <w:r>
        <w:rPr>
          <w:vertAlign w:val="superscript"/>
        </w:rPr>
        <w:t>th</w:t>
      </w:r>
      <w:r>
        <w:rPr/>
        <w:t xml:space="preserve"> Cir. 1991), the Court cited Section 2-719(1) of the UCC in holding that the “pay” obligation of a take-or-pay contract “unambiguously expresses the intention of [the parties] to fashion a specific remedy for breach by requiring CIG to pay the value of the shortfall – the contract price multiplied by the difference between the contract quantity and the amount of gas actually taken . . .”  </w:t>
      </w:r>
      <w:r>
        <w:rPr>
          <w:u w:val="single"/>
        </w:rPr>
        <w:t>Id</w:t>
      </w:r>
      <w:r>
        <w:rPr/>
        <w:t>. at 688.</w:t>
      </w:r>
    </w:p>
    <w:p>
      <w:pPr>
        <w:pStyle w:val="Normal"/>
        <w:ind w:firstLine="1440" w:end="0"/>
        <w:rPr/>
      </w:pPr>
      <w:r>
        <w:rPr/>
        <w:t xml:space="preserve">Although </w:t>
      </w:r>
      <w:r>
        <w:rPr>
          <w:u w:val="single"/>
        </w:rPr>
        <w:t>Prenalta</w:t>
      </w:r>
      <w:r>
        <w:rPr/>
        <w:t xml:space="preserve"> involved an interpretation of the UCC as adopted in Wyoming, its conclusion has been expressly endorsed by the Texas Supreme Court.  In </w:t>
      </w:r>
      <w:r>
        <w:rPr>
          <w:u w:val="single"/>
        </w:rPr>
        <w:t>Lenape</w:t>
      </w:r>
      <w:r>
        <w:rPr/>
        <w:t>, the Texas Supreme Court noted that:</w:t>
      </w:r>
    </w:p>
    <w:p>
      <w:pPr>
        <w:pStyle w:val="BodyTextIndent3"/>
        <w:ind w:hanging="0" w:start="1440" w:end="720"/>
        <w:rPr/>
      </w:pPr>
      <w:r>
        <w:rPr/>
        <w:t>“</w:t>
      </w:r>
      <w:r>
        <w:rPr/>
        <w:t>[t]he take-or-pay contract provides for alternative performance by the buyer: either purchase a specific quantity of gas or pay the purchaser for the right to purchase that quantity of gas in the future.”</w:t>
      </w:r>
    </w:p>
    <w:p>
      <w:pPr>
        <w:pStyle w:val="Normal"/>
        <w:ind w:hanging="0" w:end="0"/>
        <w:rPr/>
      </w:pPr>
      <w:r>
        <w:rPr>
          <w:u w:val="single"/>
        </w:rPr>
        <w:t>Supra</w:t>
      </w:r>
      <w:r>
        <w:rPr/>
        <w:t xml:space="preserve"> at 569-70.</w:t>
      </w:r>
    </w:p>
    <w:p>
      <w:pPr>
        <w:pStyle w:val="Normal"/>
        <w:ind w:firstLine="1440" w:end="0"/>
        <w:rPr/>
      </w:pPr>
      <w:r>
        <w:rPr/>
        <w:t xml:space="preserve">Other cases in other jurisdictions have come to similar conclusions.  </w:t>
      </w:r>
      <w:r>
        <w:rPr>
          <w:u w:val="single"/>
        </w:rPr>
        <w:t>See</w:t>
      </w:r>
      <w:r>
        <w:rPr/>
        <w:t xml:space="preserve">, </w:t>
      </w:r>
      <w:r>
        <w:rPr>
          <w:u w:val="single"/>
        </w:rPr>
        <w:t>e.g.</w:t>
      </w:r>
      <w:r>
        <w:rPr/>
        <w:t xml:space="preserve">, </w:t>
      </w:r>
      <w:r>
        <w:rPr>
          <w:u w:val="single"/>
        </w:rPr>
        <w:t>Int’l Minerals and Chemical Corp v. Llano, Inc.</w:t>
      </w:r>
      <w:r>
        <w:rPr/>
        <w:t xml:space="preserve">, 770 F.2d 879 (N.Mex. 1985); </w:t>
      </w:r>
      <w:r>
        <w:rPr>
          <w:u w:val="single"/>
        </w:rPr>
        <w:t>PGC Pipeline v. Louisiana Intrastate Gas</w:t>
      </w:r>
      <w:r>
        <w:rPr/>
        <w:t xml:space="preserve">, 791 F.2d 338 (W.D.La. 1986).  In fact, the argument supporting such an interpretation of the PPA is extremely powerful.  The reason that purchase agreements like the PPA have a contract buy-out provision at a formula price is because that is the price the parties have agreed is necessary to give the project developer a return of its equity and an agreed level of return on that equity if the power purchaser does not wish to perform.  To allow the power purchaser to avoid its obligation to buy-out the contract when the contract is no longer economic through the subterfuge of “repudiating” its obligations and relying on a lesser, noncontractual damage remedy would defeat the purpose of the buy-out provision.  </w:t>
      </w:r>
    </w:p>
    <w:p>
      <w:pPr>
        <w:pStyle w:val="Normal"/>
        <w:ind w:firstLine="1440" w:end="0"/>
        <w:rPr/>
      </w:pPr>
      <w:r>
        <w:rPr/>
        <w:t xml:space="preserve">By citing </w:t>
      </w:r>
      <w:r>
        <w:rPr>
          <w:u w:val="single"/>
        </w:rPr>
        <w:t>Prenalta</w:t>
      </w:r>
      <w:r>
        <w:rPr/>
        <w:t xml:space="preserve"> with approval, the Texas Supreme Court in </w:t>
      </w:r>
      <w:r>
        <w:rPr>
          <w:u w:val="single"/>
        </w:rPr>
        <w:t>Lenape</w:t>
      </w:r>
      <w:r>
        <w:rPr/>
        <w:t xml:space="preserve"> suggested that it would not allow this to happen.  In analyzing the purpose of a take-or-pay contract, the Court noted that it “[r]ecognized recently that the central purpose of take-or-pay contracts is to ‘allow the risk of fluctuations in market demand to be allocated to the buyer’ and stated that it would not use sections of the UCC which the parties could contractually agree to vary to “rewrite the partys’ bargained for contract”.  </w:t>
      </w:r>
      <w:r>
        <w:rPr>
          <w:u w:val="single"/>
        </w:rPr>
        <w:t>Id</w:t>
      </w:r>
      <w:r>
        <w:rPr/>
        <w:t xml:space="preserve">. at 572-3.  In light of this strong language and the Court’s approval of </w:t>
      </w:r>
      <w:r>
        <w:rPr>
          <w:u w:val="single"/>
        </w:rPr>
        <w:t>Prenalta</w:t>
      </w:r>
      <w:r>
        <w:rPr/>
        <w:t>, it is likely that the Texas Supreme Court would treat the “buy-out” provision of Section 11.02 of the PPA as the alternative performance required of Brazos if it elects not to purchase capacity under the PPA, and, therefore, the appropriate measure of damages upon repudiation by Brazos.</w:t>
      </w:r>
    </w:p>
    <w:p>
      <w:pPr>
        <w:pStyle w:val="Normal"/>
        <w:ind w:firstLine="1440" w:end="0"/>
        <w:rPr/>
      </w:pPr>
      <w:r>
        <w:rPr/>
        <w:t>The above analysis suggests that if the PPA is governed by the UCC, the likelihood that a court or arbitrator will treat Section 11.02 as a damage remedy which can be elected by the Project Company under Section 2-719 is very high.  The likelihood is equally high if the UCC is found not to apply.</w:t>
      </w:r>
    </w:p>
    <w:p>
      <w:pPr>
        <w:pStyle w:val="Normal"/>
        <w:ind w:firstLine="1440" w:end="0"/>
        <w:rPr/>
      </w:pPr>
      <w:r>
        <w:rPr/>
        <w:t>It is well established that although common law has developed damage remedies for contracts not governed by Article 2 of the UCC, parties are free to specify their own remedies provided that the agreed contracted remedies do not violate any articulated public policy such as the policy against imposing unconscionable penalties.  For example, in the official comment to Section 356 of the Second Restatement of Contracts, the drafters noted that “the parties to a contract may effectively provide in advance the damages that are payable in the event of breach as long as the provision does not disregard the principle of compensation.”</w:t>
      </w:r>
    </w:p>
    <w:p>
      <w:pPr>
        <w:pStyle w:val="Normal"/>
        <w:ind w:firstLine="1440" w:end="0"/>
        <w:rPr/>
      </w:pPr>
      <w:r>
        <w:rPr/>
        <w:t xml:space="preserve">This general rule is clearly the law in Texas.  </w:t>
      </w:r>
      <w:r>
        <w:rPr>
          <w:u w:val="single"/>
        </w:rPr>
        <w:t>See</w:t>
      </w:r>
      <w:r>
        <w:rPr/>
        <w:t xml:space="preserve">, </w:t>
      </w:r>
      <w:r>
        <w:rPr>
          <w:u w:val="single"/>
        </w:rPr>
        <w:t>e.g.</w:t>
      </w:r>
      <w:r>
        <w:rPr/>
        <w:t xml:space="preserve">, </w:t>
      </w:r>
      <w:r>
        <w:rPr>
          <w:u w:val="single"/>
        </w:rPr>
        <w:t>Allright, Inc. v. Elledse</w:t>
      </w:r>
      <w:r>
        <w:rPr/>
        <w:t xml:space="preserve">, 515 S.W.2d 266 (Sup. Ct. Tex. 1974), </w:t>
      </w:r>
      <w:r>
        <w:rPr>
          <w:u w:val="single"/>
        </w:rPr>
        <w:t>Fox Electric Company, Inc. v. Tone Guard Security, Inc.</w:t>
      </w:r>
      <w:r>
        <w:rPr/>
        <w:t xml:space="preserve">, 861 S.W.2d 79 (Tex. App. 1993) (“In the absence of a controlling public policy to the contrary, contracting parties can limit their liability in damages to a specified amount.”  </w:t>
      </w:r>
      <w:r>
        <w:rPr>
          <w:u w:val="single"/>
        </w:rPr>
        <w:t>Id</w:t>
      </w:r>
      <w:r>
        <w:rPr/>
        <w:t>. at 83.)  Therefore, as is the case under the UCC, Section 11.02 of the PPA is likely to be treated as an enforceable damage remedy which can be elected by the Project Company.</w:t>
      </w:r>
    </w:p>
    <w:p>
      <w:pPr>
        <w:pStyle w:val="Normal"/>
        <w:rPr/>
      </w:pPr>
      <w:r>
        <w:rPr>
          <w:b/>
        </w:rPr>
        <w:t>C.</w:t>
        <w:tab/>
      </w:r>
      <w:r>
        <w:rPr>
          <w:b/>
          <w:u w:val="single"/>
        </w:rPr>
        <w:t>Damages if Section 11.02 of the PPA is not Applicable</w:t>
      </w:r>
      <w:r>
        <w:rPr>
          <w:b/>
        </w:rPr>
        <w:t>.</w:t>
      </w:r>
    </w:p>
    <w:p>
      <w:pPr>
        <w:pStyle w:val="Normal"/>
        <w:ind w:firstLine="1440" w:end="0"/>
        <w:rPr/>
      </w:pPr>
      <w:r>
        <w:rPr/>
        <w:t>If a court or arbitrator were to find that Section 11.02 of the PPA is not the applicable measure of damages in the case of repudiation of the PPA by Brazos, damages are governed by Section 2-708 of the UCC if the UCC is applicable to the PPA and otherwise by common law contractual damage remedies.</w:t>
      </w:r>
    </w:p>
    <w:p>
      <w:pPr>
        <w:pStyle w:val="Normal"/>
        <w:ind w:firstLine="1440" w:end="0"/>
        <w:rPr/>
      </w:pPr>
      <w:r>
        <w:rPr/>
        <w:t>1.</w:t>
        <w:tab/>
      </w:r>
      <w:r>
        <w:rPr>
          <w:u w:val="single"/>
        </w:rPr>
        <w:t>Damages under the UCC</w:t>
      </w:r>
      <w:r>
        <w:rPr/>
        <w:t>.</w:t>
      </w:r>
    </w:p>
    <w:p>
      <w:pPr>
        <w:pStyle w:val="Normal"/>
        <w:ind w:firstLine="1440" w:end="0"/>
        <w:rPr/>
      </w:pPr>
      <w:r>
        <w:rPr/>
        <w:t>Notwithstanding the view of Professors White and Summers to the contrary, an extensive review of the cases found no cases which failed to enforce a contractual price escalation provision in determining damages under Article 2 of the UCC.  Interestingly, none of the cases actually discuss whether an argument can be made under Section 2-708(1) of the UCC that escalation provisions should be read out of the contract in question.  Instead, the courts simply enforce the contracts as written.</w:t>
      </w:r>
    </w:p>
    <w:p>
      <w:pPr>
        <w:pStyle w:val="Normal"/>
        <w:ind w:firstLine="1440" w:end="0"/>
        <w:rPr/>
      </w:pPr>
      <w:r>
        <w:rPr/>
        <w:t xml:space="preserve">For example, in </w:t>
      </w:r>
      <w:r>
        <w:rPr>
          <w:u w:val="single"/>
        </w:rPr>
        <w:t>Northern Indiana Public Service Company v. Carbon County Coal Company</w:t>
      </w:r>
      <w:r>
        <w:rPr/>
        <w:t>, 799 F.2d 265 (7</w:t>
      </w:r>
      <w:r>
        <w:rPr>
          <w:vertAlign w:val="superscript"/>
        </w:rPr>
        <w:t>th</w:t>
      </w:r>
      <w:r>
        <w:rPr/>
        <w:t xml:space="preserve"> Cir. 1986), the Seventh Circuit enforced a twenty year contract for the purchase of coal that contained a escalating price and confirmed a judgment against Nipsco in the amount of $181 million.  In rejecting a claim by the plaintiff for specific performance, the court simply noted that</w:t>
      </w:r>
    </w:p>
    <w:p>
      <w:pPr>
        <w:pStyle w:val="BodyTextIndent3"/>
        <w:ind w:hanging="0" w:start="1440" w:end="720"/>
        <w:rPr/>
      </w:pPr>
      <w:r>
        <w:rPr/>
        <w:t>“</w:t>
      </w:r>
      <w:r>
        <w:rPr/>
        <w:t>[t]he loss to Carbon County from the breach of contract is simply the difference between (1) the contract price (as escalated over the life of the contract in accordance with the contract’s escalator provisions) times quantity, and (2) the cost of mining the coal over the life of the contract.”</w:t>
      </w:r>
    </w:p>
    <w:p>
      <w:pPr>
        <w:pStyle w:val="BodyText"/>
        <w:rPr/>
      </w:pPr>
      <w:r>
        <w:rPr/>
        <w:t xml:space="preserve">Although the Court clearly recognized that the contract was governed by Article 2 of the UCC, the Court found it unnecessary to discuss specifically whether the price escalation should be stripped out of the contract.  </w:t>
      </w:r>
    </w:p>
    <w:p>
      <w:pPr>
        <w:pStyle w:val="Normal"/>
        <w:ind w:firstLine="1440" w:end="0"/>
        <w:rPr/>
      </w:pPr>
      <w:r>
        <w:rPr/>
        <w:t>Although the Court did not discuss White and Summers’ view of Section 2-708(1) of the UCC, it did state the rationale for enforcing the contract in accordance with its terms:</w:t>
      </w:r>
    </w:p>
    <w:p>
      <w:pPr>
        <w:pStyle w:val="BodyTextIndent3"/>
        <w:ind w:hanging="0" w:start="1440" w:end="720"/>
        <w:rPr/>
      </w:pPr>
      <w:r>
        <w:rPr/>
        <w:t>“</w:t>
      </w:r>
      <w:r>
        <w:rPr/>
        <w:t>[a]s we have already noted, a fixed price contract is an explicit assignment of the risk of market price increases to the seller and the risk of market price decreases to the buyer, and the assignment of the latter risk the buyer is even clearer where, as in this case, the contract places a floor under the price but allows for escalation.  If, as is also the case here, the buyer forecast the market incorrectly and therefore finds himself locked into a disadvantageous contract, he has only himself to blame and so cannot shift the risk back to seller by invoking impossibility or related doctrines.  . . . Since the very purpose of a fixed price agreement is to place the risk of increased costs on the promissor and the risk of cost decreases cost on the promissee, the fact that costs decrease steeply (which is in effect what happened here – the cost of generating electricity turned out to be lower than Nipsco thought when it signed the fixed price contract with Carbon County) cannot allow the buyer to walk away from the contract.”</w:t>
      </w:r>
    </w:p>
    <w:p>
      <w:pPr>
        <w:pStyle w:val="Normal"/>
        <w:ind w:hanging="0" w:end="0"/>
        <w:rPr/>
      </w:pPr>
      <w:r>
        <w:rPr>
          <w:u w:val="single"/>
        </w:rPr>
        <w:t>Id</w:t>
      </w:r>
      <w:r>
        <w:rPr/>
        <w:t>. at 278.  Although the Court did not state this in as many words, its description of the appropriate damage remedy also makes it clear that the Court was not willing to allow Nipsco to walk away from its contract price escalation provisions.</w:t>
      </w:r>
    </w:p>
    <w:p>
      <w:pPr>
        <w:pStyle w:val="Normal"/>
        <w:ind w:firstLine="1440" w:end="0"/>
        <w:rPr/>
      </w:pPr>
      <w:r>
        <w:rPr/>
        <w:t xml:space="preserve">A similar result, with similarly little discussion of Section 2.708(1) of the UCC, was reached by the United States District Court for the District of Utah in </w:t>
      </w:r>
      <w:r>
        <w:rPr>
          <w:u w:val="single"/>
        </w:rPr>
        <w:t>Beaver Creek Coal Company v. Nevada Power Company</w:t>
      </w:r>
      <w:r>
        <w:rPr/>
        <w:t>, 1988 U.S.D.C. Lexis 16116 (1988).  This case also involved a long term coal contract which provided for a $20 per ton base price with various adjustments to the price over time, including certain inflation escalators.  In rejecting a variety of attacks by Nevada Power, the court awarded summary judgment including enforcing the provisions providing for price escalations.</w:t>
      </w:r>
    </w:p>
    <w:p>
      <w:pPr>
        <w:pStyle w:val="Normal"/>
        <w:ind w:firstLine="1440" w:end="0"/>
        <w:rPr/>
      </w:pPr>
      <w:r>
        <w:rPr/>
        <w:t xml:space="preserve">In </w:t>
      </w:r>
      <w:r>
        <w:rPr>
          <w:u w:val="single"/>
        </w:rPr>
        <w:t>Prenalta</w:t>
      </w:r>
      <w:r>
        <w:rPr/>
        <w:t xml:space="preserve">, </w:t>
      </w:r>
      <w:r>
        <w:rPr>
          <w:u w:val="single"/>
        </w:rPr>
        <w:t>supra</w:t>
      </w:r>
      <w:r>
        <w:rPr/>
        <w:t xml:space="preserve">, the Tenth Circuit also upheld a district court decision obligating the defendant to pay the escalated price under a gas take-or-pay contract.  In </w:t>
      </w:r>
      <w:r>
        <w:rPr>
          <w:u w:val="single"/>
        </w:rPr>
        <w:t>Lenape</w:t>
      </w:r>
      <w:r>
        <w:rPr/>
        <w:t xml:space="preserve">, </w:t>
      </w:r>
      <w:r>
        <w:rPr>
          <w:u w:val="single"/>
        </w:rPr>
        <w:t>supra</w:t>
      </w:r>
      <w:r>
        <w:rPr/>
        <w:t xml:space="preserve">, the Texas Supreme Court enforced a price escalation provision in a gas take-or-pay contract after rejecting the defendant’s argument that the contract resulted in a “double” escalation.  In neither case, did the court express any concern that Section 2.708(1) required the damages to be calculated by reading out of the contract the escalation provisions.  Similarly, in a number of older power purchase agreement cases, the courts have enforced long term contracts for purchase of power in accordance with their terms without any specific discussion about the enforceability of escalation provisions.  </w:t>
      </w:r>
      <w:r>
        <w:rPr>
          <w:u w:val="single"/>
        </w:rPr>
        <w:t>See</w:t>
      </w:r>
      <w:r>
        <w:rPr/>
        <w:t xml:space="preserve"> </w:t>
      </w:r>
      <w:r>
        <w:rPr>
          <w:u w:val="single"/>
        </w:rPr>
        <w:t>City of Memphis v. Ford Motor Co</w:t>
      </w:r>
      <w:r>
        <w:rPr/>
        <w:t>., 304 F.2d 845 (6</w:t>
      </w:r>
      <w:r>
        <w:rPr>
          <w:vertAlign w:val="superscript"/>
        </w:rPr>
        <w:t>th</w:t>
      </w:r>
      <w:r>
        <w:rPr/>
        <w:t xml:space="preserve"> Cir. 1962) (Court enforced a five year power purchase agreement).  </w:t>
      </w:r>
      <w:r>
        <w:rPr>
          <w:i/>
        </w:rPr>
        <w:t>See also</w:t>
      </w:r>
      <w:r>
        <w:rPr/>
        <w:t xml:space="preserve"> </w:t>
      </w:r>
      <w:r>
        <w:rPr>
          <w:u w:val="single"/>
        </w:rPr>
        <w:t>The Carborundum Co. v. Tennessee Valley Authority</w:t>
      </w:r>
      <w:r>
        <w:rPr/>
        <w:t>, 705 F.2d 451 (6</w:t>
      </w:r>
      <w:r>
        <w:rPr>
          <w:vertAlign w:val="superscript"/>
        </w:rPr>
        <w:t>th</w:t>
      </w:r>
      <w:r>
        <w:rPr/>
        <w:t xml:space="preserve"> Cit. 1982); </w:t>
      </w:r>
      <w:r>
        <w:rPr>
          <w:u w:val="single"/>
        </w:rPr>
        <w:t>Mobil Oil Corp. v. Tennessee Valley Authority</w:t>
      </w:r>
      <w:r>
        <w:rPr/>
        <w:t xml:space="preserve">, 387 F.Supp. 498 (N.D. Ala. 1974) (holding that the TVA was entitled to payment of all minimum payments due from Mobil for the remainder of its contract with the TVA despite the sale of Mobil’s plant because the contract was an “availability contract” and the minimum payment was due whether or not Mobil purchased any power under the agreement); </w:t>
      </w:r>
      <w:r>
        <w:rPr>
          <w:u w:val="single"/>
        </w:rPr>
        <w:t>General Cable Corp. v. Citizens Utilities Co</w:t>
      </w:r>
      <w:r>
        <w:rPr/>
        <w:t>., 555 P.2d 350 (Ariz. App. 1976) (holding that the utility was entitled to payment of all minimum payments under its contract with operator of new pulp mill despite cancellation of pulp mill construction because the contract was an “availability” or “take or pay” contract and utility had agreed to construct new facilities to meet contract demand).</w:t>
      </w:r>
    </w:p>
    <w:p>
      <w:pPr>
        <w:pStyle w:val="Normal"/>
        <w:ind w:firstLine="1440" w:end="0"/>
        <w:rPr/>
      </w:pPr>
      <w:r>
        <w:rPr/>
        <w:t xml:space="preserve">The fact that none of the courts to determine the damages for breach of a long term purchase agreement found it necessary to question whether escalation provisions in the contract should be enforced is informative.  If, as suggested by the Court in </w:t>
      </w:r>
      <w:r>
        <w:rPr>
          <w:u w:val="single"/>
        </w:rPr>
        <w:t>Nipsco</w:t>
      </w:r>
      <w:r>
        <w:rPr/>
        <w:t>, the reason for long term contracts with cost escalators is to shift the price risk to the purchaser, that purpose would be defeated if the purchaser could argue that the agreed to escalation should be avoided.</w:t>
      </w:r>
    </w:p>
    <w:p>
      <w:pPr>
        <w:pStyle w:val="Normal"/>
        <w:ind w:firstLine="1440" w:end="0"/>
        <w:rPr/>
      </w:pPr>
      <w:r>
        <w:rPr/>
        <w:t>The apparent rationale behind the position taken by Professors White and Summers in their treatise is that if one is to deduct from the contract price the market price at the time of repudiation, there is a mismatch if future changes to the contract price are recognized but future changes to the market price are not.  This argument largely misses the point which is that the parties to the contract have agreed on the manner in which changes to the contract price will be recognized, and this agreement should not be disregarded simply because the parties did not expressly agree to the manner in which corresponding changes to the market price will be recognized.</w:t>
      </w:r>
    </w:p>
    <w:p>
      <w:pPr>
        <w:pStyle w:val="Normal"/>
        <w:ind w:firstLine="1440" w:end="0"/>
        <w:rPr/>
      </w:pPr>
      <w:r>
        <w:rPr/>
        <w:t xml:space="preserve">In </w:t>
      </w:r>
      <w:r>
        <w:rPr>
          <w:u w:val="single"/>
        </w:rPr>
        <w:t>Manchester Pipeline Corporation v. Peoples Natural Gas Company</w:t>
      </w:r>
      <w:r>
        <w:rPr/>
        <w:t>, 862 F.2d 1439 (10</w:t>
      </w:r>
      <w:r>
        <w:rPr>
          <w:vertAlign w:val="superscript"/>
        </w:rPr>
        <w:t>th</w:t>
      </w:r>
      <w:r>
        <w:rPr/>
        <w:t xml:space="preserve"> Cir. 1988), the United States Court of Appeals for the Tenth Circuit attempted to resolve the problems suggested by White and Summers by holding that the long term contract price should be offset by a long term market price rather than a spot market price.  Although White and Summers dismissed this approach by assuming that there were no real markets from which to establish a long term price, the increased trading in the energy market means that it should be possible to determine a long term energy and capacity price.</w:t>
      </w:r>
    </w:p>
    <w:p>
      <w:pPr>
        <w:pStyle w:val="Normal"/>
        <w:ind w:firstLine="1440" w:end="0"/>
        <w:rPr/>
      </w:pPr>
      <w:r>
        <w:rPr/>
        <w:t>As an alternative to the damage remedy specified in Section 2-708(1) of the UCC, Section 7-208(2) provides:</w:t>
      </w:r>
    </w:p>
    <w:p>
      <w:pPr>
        <w:pStyle w:val="BodyTextIndent3"/>
        <w:ind w:hanging="0" w:start="1440" w:end="720"/>
        <w:rPr/>
      </w:pPr>
      <w:r>
        <w:rPr/>
        <w:t>“</w:t>
      </w:r>
      <w:r>
        <w:rPr/>
        <w:t>[i]f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Article (Section 2-710), due allowance for cost reasonable incurred and due credit for payments or proceeds of resale.”</w:t>
      </w:r>
    </w:p>
    <w:p>
      <w:pPr>
        <w:pStyle w:val="Normal"/>
        <w:ind w:hanging="0" w:end="0"/>
        <w:rPr/>
      </w:pPr>
      <w:r>
        <w:rPr/>
        <w:t xml:space="preserve">In </w:t>
      </w:r>
      <w:r>
        <w:rPr>
          <w:u w:val="single"/>
        </w:rPr>
        <w:t>Prenalta</w:t>
      </w:r>
      <w:r>
        <w:rPr/>
        <w:t xml:space="preserve">, </w:t>
      </w:r>
      <w:r>
        <w:rPr>
          <w:u w:val="single"/>
        </w:rPr>
        <w:t>supra</w:t>
      </w:r>
      <w:r>
        <w:rPr/>
        <w:t>, the Tenth Circuit held that in circumstances where Section 2-708(1) would not put the seller in as good a position as the seller would be in if the buyer fully performed because the market price at the time of repudiation was actually higher than the contract price, Section 2-708(2) was available to provide the seller with remedy based on lost profits.  In support of this holding, the Tenth Circuit relied on Section 1-106(1) of the UCC which provides that remedies under the UCC shall “be liberally administered to the end that the aggrieved party may be put in as good a position as if the other party had fully performed . . . .”</w:t>
      </w:r>
    </w:p>
    <w:p>
      <w:pPr>
        <w:pStyle w:val="Normal"/>
        <w:ind w:firstLine="1440" w:end="0"/>
        <w:rPr/>
      </w:pPr>
      <w:r>
        <w:rPr/>
        <w:t>Since the effect of full performance by Brazos is specified in the buy-out provisions contained in Section 11.02 of the PPA, it will be hard for Brazos to prevail in its UCC argument that the Project Company is entitled to a lesser recovery.</w:t>
      </w:r>
    </w:p>
    <w:p>
      <w:pPr>
        <w:pStyle w:val="Normal"/>
        <w:ind w:firstLine="1440" w:end="0"/>
        <w:rPr/>
      </w:pPr>
      <w:r>
        <w:rPr/>
        <w:t>2.</w:t>
        <w:tab/>
      </w:r>
      <w:r>
        <w:rPr>
          <w:u w:val="single"/>
        </w:rPr>
        <w:t>Damages Under General Contract Law</w:t>
      </w:r>
    </w:p>
    <w:p>
      <w:pPr>
        <w:pStyle w:val="Normal"/>
        <w:ind w:firstLine="1440" w:end="0"/>
        <w:rPr/>
      </w:pPr>
      <w:r>
        <w:rPr/>
        <w:t xml:space="preserve">The analysis is not appreciably different if Article 2 of the UCC is not applicable.  The general damage remedy for breaches of contracts in the absence of any particular contract provision is the loss in the value to the injured party of the other party’s performance caused by the breached obligation.  </w:t>
      </w:r>
      <w:r>
        <w:rPr>
          <w:u w:val="single"/>
        </w:rPr>
        <w:t>See</w:t>
      </w:r>
      <w:r>
        <w:rPr/>
        <w:t xml:space="preserve"> </w:t>
      </w:r>
      <w:r>
        <w:rPr>
          <w:smallCaps/>
        </w:rPr>
        <w:t>Restatement of the Law (Second), Contracts § 347.</w:t>
      </w:r>
      <w:r>
        <w:rPr/>
        <w:t xml:space="preserve">  However, because the injured party has a duty to mitigate, the full measure of the contract price is usually reduced by the amount received by the seller in mitigation.  As a practical matter, the mitigation obligation reduces the damages remedy to one of contract price less market value.</w:t>
      </w:r>
    </w:p>
    <w:p>
      <w:pPr>
        <w:pStyle w:val="Normal"/>
        <w:ind w:firstLine="1440" w:end="0"/>
        <w:rPr/>
      </w:pPr>
      <w:r>
        <w:rPr/>
        <w:t>What is missing under common law is a provision like 2-723(1) which specifies the time at which the market price (and in White’s and Summers’ formulation, the contract price) is to be determined.  Accordingly, there is no restraint, express or implied, on the ability of the court to enforce the contract as written, including any escalation provisions.</w:t>
      </w:r>
    </w:p>
    <w:p>
      <w:pPr>
        <w:pStyle w:val="Normal"/>
        <w:spacing w:before="0" w:after="240"/>
        <w:ind w:firstLine="1440" w:end="0"/>
        <w:rPr/>
      </w:pPr>
      <w:r>
        <w:rPr/>
        <w:t xml:space="preserve">In </w:t>
      </w:r>
      <w:r>
        <w:rPr>
          <w:u w:val="single"/>
        </w:rPr>
        <w:t>Kiewit Texas Mining Company v. Inglish</w:t>
      </w:r>
      <w:r>
        <w:rPr/>
        <w:t xml:space="preserve">, 865 S.W.2d 240 (Tex. App. 1993), the Texas Court of Appeals held that the plaintiff suing for breach of a long term lignite lease was entitled to recover the value of the “expected performance” of the lease, including future bonuses to the extent they would have been earned but for the repudiation by the defendants.  In the case of the PPA, the “expected performance” by Brazos would include payment of the future price escalations but for any repudiation by Brazos.  Based on </w:t>
      </w:r>
      <w:r>
        <w:rPr>
          <w:u w:val="single"/>
        </w:rPr>
        <w:t>Kiewit</w:t>
      </w:r>
      <w:r>
        <w:rPr/>
        <w:t>, it is likely that a Texas court would enforce the escalation provisions of the PPA under common law just as it is likely to do under the UCC.</w:t>
      </w:r>
    </w:p>
    <w:sectPr>
      <w:footerReference w:type="default" r:id="rId2"/>
      <w:footerReference w:type="first" r:id="rId3"/>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ind w:hanging="0" w:end="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34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534035" cy="175260"/>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2.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b/>
        <w:t>For purposes of this Memorandum, we have treated “repudiation” as synonymous with failure to a perform which is not justified by a breach of the PPA by the Project Company or a third party which legally excuses Brazos’ performance.</w:t>
      </w:r>
    </w:p>
  </w:footnote>
  <w:footnote w:id="3">
    <w:p>
      <w:pPr>
        <w:pStyle w:val="FootnoteText"/>
        <w:spacing w:before="0" w:after="240"/>
        <w:rPr/>
      </w:pPr>
      <w:r>
        <w:rPr>
          <w:rStyle w:val="FootnoteCharacters"/>
        </w:rPr>
        <w:footnoteRef/>
      </w:r>
      <w:r>
        <w:rPr/>
        <w:t xml:space="preserve"> </w:t>
      </w:r>
      <w:r>
        <w:rPr/>
        <w:tab/>
        <w:t>The only authority cited by Professor White and Summers is a proceeding in the Columbia Gas Systems bankruptcy.  The matter cited does not, however, seem to stand for the proposition for which it was cited.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decimal"/>
      <w:lvlText w:val="%3."/>
      <w:lvlJc w:val="start"/>
      <w:pPr>
        <w:tabs>
          <w:tab w:val="num" w:pos="1800"/>
        </w:tabs>
        <w:ind w:start="0" w:firstLine="144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ind w:firstLine="720" w:start="0" w:end="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kern w:val="2"/>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keepNext w:val="true"/>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Univers" w:hAnsi="Univers" w:cs="Univers"/>
      <w:smallCaps/>
      <w:spacing w:val="30"/>
      <w:sz w:val="32"/>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rPr/>
  </w:style>
  <w:style w:type="paragraph" w:styleId="BodyTextIndent2">
    <w:name w:val="Body Text Indent 2"/>
    <w:basedOn w:val="Normal"/>
    <w:qFormat/>
    <w:pPr>
      <w:ind w:hanging="0" w:start="1440" w:end="0"/>
    </w:pPr>
    <w:rPr/>
  </w:style>
  <w:style w:type="paragraph" w:styleId="FootnoteText">
    <w:name w:val="footnote text"/>
    <w:basedOn w:val="Normal"/>
    <w:pPr/>
    <w:rPr>
      <w:sz w:val="20"/>
    </w:rPr>
  </w:style>
  <w:style w:type="paragraph" w:styleId="BodyTextIndent3">
    <w:name w:val="Body Text Indent 3"/>
    <w:basedOn w:val="Normal"/>
    <w:qFormat/>
    <w:pPr>
      <w:ind w:firstLine="720" w:start="72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LLGM_Memo.dot</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2000-07-24T23:01:00Z</dcterms:created>
  <dc:creator>IS Department</dc:creator>
  <dc:description/>
  <cp:keywords>DN 148403.3 24571 00838</cp:keywords>
  <dc:language>en-CA</dc:language>
  <cp:lastModifiedBy>IS Department</cp:lastModifiedBy>
  <cp:lastPrinted>2000-07-25T03:00:00Z</cp:lastPrinted>
  <dcterms:modified xsi:type="dcterms:W3CDTF">2000-07-25T06:31:00Z</dcterms:modified>
  <cp:revision>34</cp:revision>
  <dc:subject/>
  <dc:title/>
</cp:coreProperties>
</file>