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b/>
          <w:sz w:val="40"/>
        </w:rPr>
      </w:pPr>
      <w:r>
        <w:rPr>
          <w:b/>
          <w:sz w:val="40"/>
        </w:rPr>
        <w:t>DRAFT</w:t>
      </w:r>
    </w:p>
    <w:p>
      <w:pPr>
        <w:pStyle w:val="Normal"/>
        <w:rPr>
          <w:b/>
          <w:sz w:val="40"/>
        </w:rPr>
      </w:pPr>
      <w:r>
        <w:rPr>
          <w:b/>
          <w:sz w:val="40"/>
        </w:rPr>
      </w:r>
    </w:p>
    <w:p>
      <w:pPr>
        <w:pStyle w:val="Heading1"/>
        <w:ind w:hanging="0" w:start="0"/>
        <w:jc w:val="center"/>
        <w:rPr>
          <w:sz w:val="28"/>
        </w:rPr>
      </w:pPr>
      <w:r>
        <w:rPr>
          <w:sz w:val="28"/>
        </w:rPr>
      </w:r>
    </w:p>
    <w:p>
      <w:pPr>
        <w:pStyle w:val="Heading1"/>
        <w:ind w:hanging="0" w:start="0"/>
        <w:jc w:val="center"/>
        <w:rPr>
          <w:sz w:val="28"/>
        </w:rPr>
      </w:pPr>
      <w:r>
        <w:rPr>
          <w:sz w:val="28"/>
        </w:rPr>
        <w:t>Termination of Trading Contracts with Counterparties in Bankruptcy</w:t>
      </w:r>
    </w:p>
    <w:p>
      <w:pPr>
        <w:pStyle w:val="Normal"/>
        <w:rPr>
          <w:sz w:val="28"/>
        </w:rPr>
      </w:pPr>
      <w:r>
        <w:rPr>
          <w:sz w:val="28"/>
        </w:rPr>
      </w:r>
    </w:p>
    <w:p>
      <w:pPr>
        <w:pStyle w:val="Normal"/>
        <w:rPr>
          <w:sz w:val="24"/>
        </w:rPr>
      </w:pPr>
      <w:r>
        <w:rPr>
          <w:sz w:val="24"/>
        </w:rPr>
      </w:r>
    </w:p>
    <w:p>
      <w:pPr>
        <w:pStyle w:val="Normal"/>
        <w:rPr>
          <w:b/>
          <w:sz w:val="24"/>
          <w:u w:val="single"/>
        </w:rPr>
      </w:pPr>
      <w:r>
        <w:rPr>
          <w:b/>
          <w:sz w:val="24"/>
          <w:u w:val="single"/>
        </w:rPr>
        <w:t>Financial (Derivatives) Contracts:</w:t>
      </w:r>
    </w:p>
    <w:p>
      <w:pPr>
        <w:pStyle w:val="Normal"/>
        <w:rPr>
          <w:b/>
          <w:sz w:val="24"/>
          <w:u w:val="single"/>
        </w:rPr>
      </w:pPr>
      <w:r>
        <w:rPr>
          <w:b/>
          <w:sz w:val="24"/>
          <w:u w:val="single"/>
        </w:rPr>
      </w:r>
    </w:p>
    <w:p>
      <w:pPr>
        <w:pStyle w:val="Normal"/>
        <w:rPr>
          <w:sz w:val="24"/>
        </w:rPr>
      </w:pPr>
      <w:r>
        <w:rPr>
          <w:sz w:val="24"/>
        </w:rPr>
        <w:tab/>
        <w:t xml:space="preserve">If the counterparty to a financial trading contract goes into bankruptcy, ECT’s policy is to terminate the outstanding transactions within 5 business days of learning of the bankruptcy.  Any employee learning of the bankruptcy of a counterparty should immediately inform ECT Legal.  </w:t>
      </w:r>
    </w:p>
    <w:p>
      <w:pPr>
        <w:pStyle w:val="Normal"/>
        <w:rPr>
          <w:sz w:val="24"/>
        </w:rPr>
      </w:pPr>
      <w:r>
        <w:rPr>
          <w:sz w:val="24"/>
        </w:rPr>
      </w:r>
    </w:p>
    <w:p>
      <w:pPr>
        <w:pStyle w:val="Normal"/>
        <w:rPr>
          <w:sz w:val="24"/>
        </w:rPr>
      </w:pPr>
      <w:r>
        <w:rPr>
          <w:sz w:val="24"/>
        </w:rPr>
        <w:tab/>
        <w:t>Exceptions to the general policy may be necessary when:</w:t>
      </w:r>
    </w:p>
    <w:p>
      <w:pPr>
        <w:pStyle w:val="Normal"/>
        <w:numPr>
          <w:ilvl w:val="0"/>
          <w:numId w:val="2"/>
        </w:numPr>
        <w:tabs>
          <w:tab w:val="clear" w:pos="720"/>
          <w:tab w:val="left" w:pos="1800" w:leader="none"/>
        </w:tabs>
        <w:ind w:hanging="360" w:start="1800" w:end="0"/>
        <w:rPr>
          <w:sz w:val="24"/>
        </w:rPr>
      </w:pPr>
      <w:r>
        <w:rPr>
          <w:sz w:val="24"/>
        </w:rPr>
        <w:t>ECT or another Enron affiliate owns an equity interest in the bankrupt entity or exercises some level of control of the entity</w:t>
      </w:r>
    </w:p>
    <w:p>
      <w:pPr>
        <w:pStyle w:val="Normal"/>
        <w:numPr>
          <w:ilvl w:val="0"/>
          <w:numId w:val="2"/>
        </w:numPr>
        <w:tabs>
          <w:tab w:val="clear" w:pos="720"/>
          <w:tab w:val="left" w:pos="1800" w:leader="none"/>
        </w:tabs>
        <w:ind w:hanging="360" w:start="1800" w:end="0"/>
        <w:rPr>
          <w:sz w:val="24"/>
        </w:rPr>
      </w:pPr>
      <w:r>
        <w:rPr>
          <w:sz w:val="24"/>
        </w:rPr>
        <w:t>The trading contract has been pledged or assigned as collateral</w:t>
      </w:r>
    </w:p>
    <w:p>
      <w:pPr>
        <w:pStyle w:val="Normal"/>
        <w:numPr>
          <w:ilvl w:val="0"/>
          <w:numId w:val="2"/>
        </w:numPr>
        <w:tabs>
          <w:tab w:val="clear" w:pos="720"/>
          <w:tab w:val="left" w:pos="1800" w:leader="none"/>
        </w:tabs>
        <w:ind w:hanging="360" w:start="1800" w:end="0"/>
        <w:rPr>
          <w:sz w:val="24"/>
        </w:rPr>
      </w:pPr>
      <w:r>
        <w:rPr>
          <w:sz w:val="24"/>
        </w:rPr>
        <w:t xml:space="preserve">ECT or another Enron affiliate has extended credit to, or maintains some other significant relationship with, the bankrupt entity </w:t>
      </w:r>
    </w:p>
    <w:p>
      <w:pPr>
        <w:pStyle w:val="Normal"/>
        <w:rPr>
          <w:sz w:val="24"/>
        </w:rPr>
      </w:pPr>
      <w:r>
        <w:rPr>
          <w:sz w:val="24"/>
        </w:rPr>
      </w:r>
    </w:p>
    <w:p>
      <w:pPr>
        <w:pStyle w:val="Normal"/>
        <w:ind w:firstLine="720" w:end="0"/>
        <w:rPr>
          <w:sz w:val="24"/>
        </w:rPr>
      </w:pPr>
      <w:r>
        <w:rPr>
          <w:sz w:val="24"/>
        </w:rPr>
        <w:t>ECT Legal should consult with Credit and the appropriate traders upon learning of the bankruptcy and discuss the designation of a termination date and the necessary actions to be taken by the traders on that date.</w:t>
      </w:r>
    </w:p>
    <w:p>
      <w:pPr>
        <w:pStyle w:val="Normal"/>
        <w:ind w:firstLine="720" w:end="0"/>
        <w:rPr>
          <w:sz w:val="24"/>
        </w:rPr>
      </w:pPr>
      <w:r>
        <w:rPr>
          <w:sz w:val="24"/>
        </w:rPr>
      </w:r>
    </w:p>
    <w:p>
      <w:pPr>
        <w:pStyle w:val="Normal"/>
        <w:ind w:firstLine="720" w:end="0"/>
        <w:rPr>
          <w:sz w:val="24"/>
        </w:rPr>
      </w:pPr>
      <w:r>
        <w:rPr>
          <w:sz w:val="24"/>
        </w:rPr>
      </w:r>
    </w:p>
    <w:p>
      <w:pPr>
        <w:pStyle w:val="Normal"/>
        <w:rPr>
          <w:sz w:val="24"/>
        </w:rPr>
      </w:pPr>
      <w:r>
        <w:rPr>
          <w:b/>
          <w:sz w:val="24"/>
          <w:u w:val="single"/>
        </w:rPr>
        <w:t>Physical Commodity Contracts:</w:t>
      </w:r>
    </w:p>
    <w:p>
      <w:pPr>
        <w:pStyle w:val="Normal"/>
        <w:rPr>
          <w:sz w:val="24"/>
        </w:rPr>
      </w:pPr>
      <w:r>
        <w:rPr>
          <w:sz w:val="24"/>
        </w:rPr>
      </w:r>
    </w:p>
    <w:p>
      <w:pPr>
        <w:pStyle w:val="Normal"/>
        <w:rPr>
          <w:sz w:val="24"/>
        </w:rPr>
      </w:pPr>
      <w:r>
        <w:rPr>
          <w:sz w:val="24"/>
        </w:rPr>
        <w:tab/>
        <w:t xml:space="preserve">Most of ECT’s physical commodity trading contracts terminate according to their terms immediately upon the bankruptcy of the counterparty.  The few other cases (requiring some action on our part) are subject to the same policy as for financial contracts.  </w:t>
      </w:r>
    </w:p>
    <w:p>
      <w:pPr>
        <w:pStyle w:val="Normal"/>
        <w:ind w:firstLine="720" w:end="0"/>
        <w:rPr>
          <w:sz w:val="24"/>
        </w:rPr>
      </w:pPr>
      <w:r>
        <w:rPr>
          <w:sz w:val="24"/>
        </w:rPr>
      </w:r>
    </w:p>
    <w:p>
      <w:pPr>
        <w:pStyle w:val="Normal"/>
        <w:ind w:firstLine="720" w:end="0"/>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/mnt/main-storage/datasets/enron-docs/doc/143misc.doc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1999-04-12T18:31:00Z</dcterms:created>
  <dc:creator>mtaylo1</dc:creator>
  <dc:description/>
  <dc:language>en-CA</dc:language>
  <cp:lastModifiedBy>mtaylo1</cp:lastModifiedBy>
  <cp:lastPrinted>1999-04-12T16:36:00Z</cp:lastPrinted>
  <dcterms:modified xsi:type="dcterms:W3CDTF">1999-04-12T19:06:00Z</dcterms:modified>
  <cp:revision>2</cp:revision>
  <dc:subject/>
  <dc:title>DRAFT</dc:title>
</cp:coreProperties>
</file>