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jc w:val="center"/>
        <w:rPr>
          <w:b/>
          <w:bCs/>
        </w:rPr>
      </w:pPr>
      <w:r>
        <w:rPr>
          <w:b/>
          <w:bCs/>
        </w:rPr>
        <w:t>Governor Davis’ Power Grab</w:t>
      </w:r>
    </w:p>
    <w:p>
      <w:pPr>
        <w:pStyle w:val="VEBodyText"/>
        <w:jc w:val="center"/>
        <w:rPr>
          <w:i/>
          <w:i/>
          <w:iCs/>
        </w:rPr>
      </w:pPr>
      <w:r>
        <w:rPr>
          <w:i/>
          <w:iCs/>
        </w:rPr>
        <w:t>Latest Threats from California May be Overreaching</w:t>
      </w:r>
    </w:p>
    <w:p>
      <w:pPr>
        <w:pStyle w:val="VEBodyText"/>
        <w:jc w:val="center"/>
        <w:rPr/>
      </w:pPr>
      <w:r>
        <w:rPr/>
        <w:t>by</w:t>
      </w:r>
    </w:p>
    <w:p>
      <w:pPr>
        <w:pStyle w:val="VEBodyText"/>
        <w:jc w:val="center"/>
        <w:rPr/>
      </w:pPr>
      <w:r>
        <w:rPr/>
        <w:t>Adam Wenner, Partner</w:t>
      </w:r>
    </w:p>
    <w:p>
      <w:pPr>
        <w:pStyle w:val="VEBodyText"/>
        <w:jc w:val="center"/>
        <w:rPr/>
      </w:pPr>
      <w:r>
        <w:rPr/>
        <w:t>Vinson &amp; Elkins L.L.P.</w:t>
      </w:r>
    </w:p>
    <w:p>
      <w:pPr>
        <w:pStyle w:val="VEBodyText"/>
        <w:jc w:val="center"/>
        <w:rPr/>
      </w:pPr>
      <w:r>
        <w:rPr/>
      </w:r>
    </w:p>
    <w:p>
      <w:pPr>
        <w:pStyle w:val="VEBodyText"/>
        <w:jc w:val="start"/>
        <w:rPr/>
      </w:pPr>
      <w:r>
        <w:rPr/>
        <w:tab/>
        <w:t>In his ongoing effort to regain political credibility in the California energy crisis, Governor Gray Davis has fired a shot across the bow of the “out of state” wholesale power sellers.  He’s announced that he is considering signing a “windfall” profits tax bill.  Even more alarming, the Governor has suggested that he might commandeer power produced by those companies’ plants, or even seize the plants themselves.</w:t>
      </w:r>
    </w:p>
    <w:p>
      <w:pPr>
        <w:pStyle w:val="VEBodyText"/>
        <w:jc w:val="start"/>
        <w:rPr/>
      </w:pPr>
      <w:r>
        <w:rPr/>
        <w:tab/>
        <w:t xml:space="preserve">This is tough talk from an elected official who is in an understandably difficult position.  He faces a summer during which his aspirations to a future in national politics may melt in the California sun.  Nonetheless, the tough talk ignores the limitations on a state government’s ability to override federal legislation, not to mention the authority the Commerce Clause of the U.S. Constitution reserves to the federal government. </w:t>
      </w:r>
    </w:p>
    <w:p>
      <w:pPr>
        <w:pStyle w:val="VEBodyText"/>
        <w:jc w:val="start"/>
        <w:rPr/>
      </w:pPr>
      <w:r>
        <w:rPr/>
        <w:tab/>
        <w:t>In 1927, the U.S. Supreme Court held that the State of Rhode Island could not regulate rates for wholesale power sales to Massachusetts, since the Commerce Clause provides that only the federal government may regulate this type of interstate activity.  In response, in 1935, Congress passed the Federal Power Act, creating the Federal Power Commission (which later became the Federal Energy Regulatory Commission) and granting it exclusive authority to determine “just and reasonable” rates for wholesale power sales in interstate commerce.</w:t>
      </w:r>
    </w:p>
    <w:p>
      <w:pPr>
        <w:pStyle w:val="VEBodyText"/>
        <w:jc w:val="start"/>
        <w:rPr/>
      </w:pPr>
      <w:r>
        <w:rPr/>
        <w:tab/>
        <w:t xml:space="preserve">Subsequently, a series of decisions by the U.S. Supreme Court, including one involving California, held that where the integrated power grid crosses state lines, such as in the western United States and Florida, wholesale power sales that use the grid are “in interstate commerce,” even if the power is produced and consumed in the same state.  Therefore, those sales are subject to exclusive regulation by the FERC.  Several Supreme Court decisions hold that state laws that directly or indirectly interfere with FERC-set rates are invalid.  For example, in </w:t>
      </w:r>
      <w:r>
        <w:rPr>
          <w:i/>
          <w:iCs/>
        </w:rPr>
        <w:t xml:space="preserve">Nantahala Power &amp; Light Co. v. Thornburg, </w:t>
      </w:r>
      <w:r>
        <w:rPr/>
        <w:t>a 1986 case out of North Carolina, the court majority said, “[a] State must … give effect to Congress’ desire to give FERC plenary authority over interstate wholesale rates, and to ensure that the States do not interfere with this authority.”</w:t>
      </w:r>
    </w:p>
    <w:p>
      <w:pPr>
        <w:pStyle w:val="VEBodyText"/>
        <w:jc w:val="start"/>
        <w:rPr/>
      </w:pPr>
      <w:r>
        <w:rPr/>
        <w:tab/>
        <w:t xml:space="preserve">Two years later, in </w:t>
      </w:r>
      <w:r>
        <w:rPr>
          <w:i/>
          <w:iCs/>
        </w:rPr>
        <w:t xml:space="preserve">Mississippi Power &amp; Light Co. v. Mississippi et al., </w:t>
      </w:r>
      <w:r>
        <w:rPr/>
        <w:t>the justices invalidated an attempt by the Mississippi Supreme Court to prevent a utility from recovering the costs of its FERC-determined share of a nuclear plant.  The Court held that “[t]he reasonableness of rates and agreements regulated by FERC may not be collaterally attacked in state or federal courts.  The only appropriate forum for such a challenge is before the [FERC] or a court reviewing the [FERC’s] order.”</w:t>
      </w:r>
    </w:p>
    <w:p>
      <w:pPr>
        <w:pStyle w:val="VEBodyText"/>
        <w:jc w:val="start"/>
        <w:rPr/>
      </w:pPr>
      <w:r>
        <w:rPr/>
        <w:tab/>
        <w:t>If you want a contemporary definition of “collateral attack” just take a close look at Governor Davis’ windfall profits tax proposal.  The FERC has determined that the rates charged by California power wholesalers are the “just and reasonable” rates under Sections 205 and 206 of the Federal Power Act.  If Governor Davis disagrees with the FERC’s determination, the Supreme Court has plainly instructed that his appropriate course of action would be to petition the FERC itself and turn to the U.S. Courts of Appeal for redress.  Instead, the Governor wants to confiscate the difference between the rate found lawful by the FERC and what he believes the lawful rate should be through imposition of this tax.  This is a clear collateral attack on the federally-approved wholesale rate.  A state tax that confiscates a portion of the payments made under that rate, depriving the seller of the revenue level that has been determined to be the exclusive lawful amount that it may receive for its power stales, clearly stands as an obstacle to the comprehensive federal power regulatory scheme established by Congress in 1935 – a scheme that remains the law of the land.</w:t>
      </w:r>
    </w:p>
    <w:p>
      <w:pPr>
        <w:pStyle w:val="VEBodyText"/>
        <w:jc w:val="start"/>
        <w:rPr/>
      </w:pPr>
      <w:r>
        <w:rPr/>
        <w:tab/>
        <w:t xml:space="preserve">California has banged its political head against this wall many times before, and still hasn’t learned.  There is a rather lengthy history of federal decisions in the energy area that have invalidated, on preemption grounds, attempts by California to intrude into areas reserved to the federal government.  In </w:t>
      </w:r>
      <w:r>
        <w:rPr>
          <w:i/>
          <w:iCs/>
        </w:rPr>
        <w:t xml:space="preserve">Independent Energy Producers Association v. California Public Utilities Commission, </w:t>
      </w:r>
      <w:r>
        <w:rPr/>
        <w:t xml:space="preserve">the CPUC attempted to usurp the FERC’s statutorily-assigned job of determining whether cogeneration facilities qualified under federal standards, and to establish the rates for “QFs” that the CPUC found not to be in compliance.  The U.S. Court of Appeals threw out California’s program, finding that these functions fell within the exclusive jurisdiction of the FERC.  Similarly, in </w:t>
      </w:r>
      <w:r>
        <w:rPr>
          <w:i/>
          <w:iCs/>
        </w:rPr>
        <w:t xml:space="preserve">California v. FERC, </w:t>
      </w:r>
      <w:r>
        <w:rPr/>
        <w:t>the U.S. Supreme Court held that California’s requirements for minimum stream flow for a river on which a federally licensed hydroelectric project was located were preempted by the Federal Power Act.</w:t>
      </w:r>
    </w:p>
    <w:p>
      <w:pPr>
        <w:pStyle w:val="VEBodyText"/>
        <w:spacing w:before="0" w:after="240"/>
        <w:jc w:val="start"/>
        <w:rPr/>
      </w:pPr>
      <w:r>
        <w:rPr/>
        <w:tab/>
        <w:t>The lesson here is that if California is dissatisfied with the FERC’s determination of wholesale power rates, it would do well to avoid enacting legislation or programs that lack Constitutional muster.  A quick glance at a map of transmission systems in the West shows that the entire western U.S. is an interconnected electric grid, and confirms the wisdom of addressing California problems on a regional and national basis – something that only Congress is capable of doing.  The Governor would best serve the public interest by recognizing this reality and not devoting his and stakeholders time to proposing laws that suffer from congenital fatal legal failings.</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143590_1.DOC</w:t>
    </w:r>
    <w:r>
      <w:rPr>
        <w:rStyle w:val="VEDocumentInformatio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6">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1"/>
      </w:numPr>
      <w:tabs>
        <w:tab w:val="clear" w:pos="720"/>
      </w:tabs>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6"/>
      </w:numPr>
      <w:spacing w:before="0" w:after="240"/>
      <w:outlineLvl w:val="0"/>
    </w:pPr>
    <w:rPr>
      <w:bCs/>
    </w:rPr>
  </w:style>
  <w:style w:type="paragraph" w:styleId="VENumbered2">
    <w:name w:val="VE Numbered 2"/>
    <w:basedOn w:val="VENormal"/>
    <w:next w:val="VEBodyTextFLI"/>
    <w:qFormat/>
    <w:pPr>
      <w:numPr>
        <w:ilvl w:val="0"/>
        <w:numId w:val="6"/>
      </w:numPr>
      <w:spacing w:before="0" w:after="240"/>
      <w:outlineLvl w:val="1"/>
    </w:pPr>
    <w:rPr/>
  </w:style>
  <w:style w:type="paragraph" w:styleId="VENumbered3">
    <w:name w:val="VE Numbered 3"/>
    <w:basedOn w:val="VENormal"/>
    <w:next w:val="VEBodyTextFLI"/>
    <w:qFormat/>
    <w:pPr>
      <w:numPr>
        <w:ilvl w:val="0"/>
        <w:numId w:val="6"/>
      </w:numPr>
      <w:spacing w:before="0" w:after="240"/>
      <w:outlineLvl w:val="2"/>
    </w:pPr>
    <w:rPr/>
  </w:style>
  <w:style w:type="paragraph" w:styleId="VENumbered4">
    <w:name w:val="VE Numbered 4"/>
    <w:basedOn w:val="VENormal"/>
    <w:next w:val="VEBodyTextFLI"/>
    <w:qFormat/>
    <w:pPr>
      <w:numPr>
        <w:ilvl w:val="0"/>
        <w:numId w:val="6"/>
      </w:numPr>
      <w:spacing w:before="0" w:after="240"/>
      <w:outlineLvl w:val="3"/>
    </w:pPr>
    <w:rPr/>
  </w:style>
  <w:style w:type="paragraph" w:styleId="VENumbered5">
    <w:name w:val="VE Numbered 5"/>
    <w:basedOn w:val="VENormal"/>
    <w:next w:val="VEBodyTextFLI"/>
    <w:qFormat/>
    <w:pPr>
      <w:numPr>
        <w:ilvl w:val="0"/>
        <w:numId w:val="6"/>
      </w:numPr>
      <w:spacing w:before="0" w:after="240"/>
      <w:outlineLvl w:val="4"/>
    </w:pPr>
    <w:rPr/>
  </w:style>
  <w:style w:type="paragraph" w:styleId="VENumbered6">
    <w:name w:val="VE Numbered 6"/>
    <w:basedOn w:val="VENormal"/>
    <w:next w:val="VEBodyTextFLI"/>
    <w:qFormat/>
    <w:pPr>
      <w:numPr>
        <w:ilvl w:val="0"/>
        <w:numId w:val="6"/>
      </w:numPr>
      <w:spacing w:before="0" w:after="240"/>
      <w:outlineLvl w:val="5"/>
    </w:pPr>
    <w:rPr/>
  </w:style>
  <w:style w:type="paragraph" w:styleId="VENumbered7">
    <w:name w:val="VE Numbered 7"/>
    <w:basedOn w:val="VENormal"/>
    <w:next w:val="VEBodyTextFLI"/>
    <w:qFormat/>
    <w:pPr>
      <w:numPr>
        <w:ilvl w:val="0"/>
        <w:numId w:val="6"/>
      </w:numPr>
      <w:spacing w:before="0" w:after="240"/>
      <w:outlineLvl w:val="6"/>
    </w:pPr>
    <w:rPr/>
  </w:style>
  <w:style w:type="paragraph" w:styleId="VENumbered8">
    <w:name w:val="VE Numbered 8"/>
    <w:basedOn w:val="VENormal"/>
    <w:next w:val="VEBodyTextFLI"/>
    <w:qFormat/>
    <w:pPr>
      <w:numPr>
        <w:ilvl w:val="0"/>
        <w:numId w:val="6"/>
      </w:numPr>
      <w:spacing w:before="0" w:after="240"/>
      <w:outlineLvl w:val="7"/>
    </w:pPr>
    <w:rPr/>
  </w:style>
  <w:style w:type="paragraph" w:styleId="VENumbered9">
    <w:name w:val="VE Numbered 9"/>
    <w:basedOn w:val="VENormal"/>
    <w:next w:val="VEBodyTextFLI"/>
    <w:qFormat/>
    <w:pPr>
      <w:numPr>
        <w:ilvl w:val="0"/>
        <w:numId w:val="6"/>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5"/>
      </w:numPr>
      <w:spacing w:before="0" w:after="240"/>
      <w:ind w:hanging="0" w:start="0" w:end="0"/>
      <w:jc w:val="start"/>
    </w:pPr>
    <w:rPr/>
  </w:style>
  <w:style w:type="paragraph" w:styleId="VESchedule2">
    <w:name w:val="VE Schedule 2"/>
    <w:basedOn w:val="VENormal"/>
    <w:next w:val="VEBodyTextFLI"/>
    <w:qFormat/>
    <w:pPr>
      <w:numPr>
        <w:ilvl w:val="0"/>
        <w:numId w:val="5"/>
      </w:numPr>
      <w:tabs>
        <w:tab w:val="clear" w:pos="720"/>
      </w:tabs>
      <w:spacing w:before="0" w:after="240"/>
      <w:ind w:hanging="0" w:start="0" w:end="0"/>
    </w:pPr>
    <w:rPr/>
  </w:style>
  <w:style w:type="paragraph" w:styleId="VESchedule3">
    <w:name w:val="VE Schedule 3"/>
    <w:basedOn w:val="VENormal"/>
    <w:next w:val="VEBodyTextFLI"/>
    <w:qFormat/>
    <w:pPr>
      <w:numPr>
        <w:ilvl w:val="0"/>
        <w:numId w:val="5"/>
      </w:numPr>
      <w:tabs>
        <w:tab w:val="clear" w:pos="720"/>
      </w:tabs>
      <w:spacing w:before="0" w:after="240"/>
      <w:ind w:hanging="0" w:start="0" w:end="0"/>
    </w:pPr>
    <w:rPr/>
  </w:style>
  <w:style w:type="paragraph" w:styleId="VESchedule4">
    <w:name w:val="VE Schedule 4"/>
    <w:basedOn w:val="VENormal"/>
    <w:next w:val="VEBodyTextFLI"/>
    <w:qFormat/>
    <w:pPr>
      <w:numPr>
        <w:ilvl w:val="0"/>
        <w:numId w:val="5"/>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2001-05-23T16:22:00Z</dcterms:created>
  <dc:creator>V&amp;E Employee</dc:creator>
  <dc:description/>
  <dc:language>en-CA</dc:language>
  <cp:lastModifiedBy>Adam Wenner</cp:lastModifiedBy>
  <cp:lastPrinted>2001-05-23T11:23:00Z</cp:lastPrinted>
  <dcterms:modified xsi:type="dcterms:W3CDTF">2001-05-23T16:22:00Z</dcterms:modified>
  <cp:revision>2</cp:revision>
  <dc:subject/>
  <dc:title>Governor Davis’ Power Grab</dc:title>
</cp:coreProperties>
</file>