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12/17/99</w:t>
      </w:r>
    </w:p>
    <w:p>
      <w:pPr>
        <w:pStyle w:val="Normal"/>
        <w:jc w:val="end"/>
        <w:rPr>
          <w:b/>
          <w:sz w:val="22"/>
          <w:u w:val="single"/>
        </w:rPr>
      </w:pPr>
      <w:r>
        <w:rPr>
          <w:b/>
          <w:sz w:val="22"/>
          <w:u w:val="single"/>
        </w:rPr>
      </w:r>
    </w:p>
    <w:p>
      <w:pPr>
        <w:pStyle w:val="Normal"/>
        <w:jc w:val="end"/>
        <w:rPr>
          <w:b/>
          <w:sz w:val="22"/>
        </w:rPr>
      </w:pPr>
      <w:r>
        <w:rPr>
          <w:b/>
          <w:sz w:val="22"/>
        </w:rPr>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199__</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POWER MARKETING, INC.,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MERRILL LYNCH CAPITAL SERVICES, INC., a corporation organized under the law of the State of ________________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and with respect to Party B’s Credit Support Provider, U.S. $100,000,000 (or its equivalent in another currency)</w:t>
      </w:r>
      <w:r>
        <w:rPr>
          <w:color w:val="000000"/>
          <w:sz w:val="22"/>
        </w:rPr>
        <w:t xml:space="preserve">;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color w:val="FF0000"/>
          <w:sz w:val="22"/>
        </w:rPr>
      </w:pPr>
      <w:r>
        <w:rPr>
          <w:sz w:val="22"/>
        </w:rPr>
        <w:t>(h)</w:t>
      </w:r>
      <w:r>
        <w:rPr>
          <w:b/>
          <w:sz w:val="22"/>
        </w:rPr>
        <w:tab/>
        <w:t>Additional Event of Default.</w:t>
      </w:r>
      <w:r>
        <w:rPr>
          <w:sz w:val="22"/>
        </w:rPr>
        <w:t xml:space="preserve">  The following will constitute an additional Event of Default for purposes of Section 5(a):</w:t>
      </w:r>
    </w:p>
    <w:p>
      <w:pPr>
        <w:pStyle w:val="Normal"/>
        <w:numPr>
          <w:ilvl w:val="0"/>
          <w:numId w:val="2"/>
        </w:numPr>
        <w:spacing w:lineRule="atLeast" w:line="240" w:before="240" w:after="0"/>
        <w:jc w:val="both"/>
        <w:rPr>
          <w:color w:val="FF0000"/>
          <w:sz w:val="22"/>
        </w:rPr>
      </w:pPr>
      <w:r>
        <w:rPr>
          <w:color w:val="FF0000"/>
          <w:sz w:val="22"/>
        </w:rPr>
        <w:t>The occurrence of a Material Adverse Change (as hereinafter defined) with respect to Party A or Party B.  "</w:t>
      </w:r>
      <w:r>
        <w:rPr>
          <w:b/>
          <w:sz w:val="22"/>
        </w:rPr>
        <w:t>“Material Adverse Change”</w:t>
      </w:r>
      <w:r>
        <w:rPr>
          <w:sz w:val="22"/>
        </w:rPr>
        <w:t xml:space="preserve"> means (a) with respect to Party A, its Credit Support Provider’s Credit Rating is below “BBB-” by S&amp;P or below “Baa3” by Moody’s or its Credit Support Provider fails to have a Credit Rating from S&amp;P or Moody’s; or (b) with respect to Party B, its Credit Support Provider’s Credit Rating is below “BBB-” by S&amp;P or below “Baa3” by Moody’s or its Credit Support Provider fails to have a Credit Rating from S&amp;P or Moody’s</w:t>
      </w:r>
      <w:r>
        <w:rPr>
          <w:color w:val="FF0000"/>
          <w:sz w:val="22"/>
        </w:rPr>
        <w:t xml:space="preserve">, </w:t>
      </w:r>
      <w:r>
        <w:rPr>
          <w:color w:val="FF0000"/>
          <w:sz w:val="22"/>
          <w:u w:val="single"/>
        </w:rPr>
        <w:t>provided</w:t>
      </w:r>
      <w:r>
        <w:rPr>
          <w:color w:val="FF0000"/>
          <w:sz w:val="22"/>
        </w:rPr>
        <w:t xml:space="preserve">, </w:t>
      </w:r>
      <w:r>
        <w:rPr>
          <w:color w:val="FF0000"/>
          <w:sz w:val="22"/>
          <w:u w:val="single"/>
        </w:rPr>
        <w:t>however</w:t>
      </w:r>
      <w:r>
        <w:rPr>
          <w:color w:val="FF0000"/>
          <w:sz w:val="22"/>
        </w:rPr>
        <w:t>, that the foregoing occurrence shall not constitute an Event of Default so long as in connection with or after such action or event, the party experiencing the Material Adverse Change (“X”) provides (or causes to be provided) to the other party (“Y”) within two Local Business Days of Y's written demand therefor collateral in an amount satisfactory to Y in its sole discretion.</w:t>
      </w:r>
    </w:p>
    <w:p>
      <w:pPr>
        <w:pStyle w:val="Normal"/>
        <w:numPr>
          <w:ilvl w:val="0"/>
          <w:numId w:val="2"/>
        </w:numPr>
        <w:spacing w:lineRule="atLeast" w:line="240" w:before="240" w:after="0"/>
        <w:jc w:val="both"/>
        <w:rPr>
          <w:color w:val="FF0000"/>
          <w:sz w:val="22"/>
        </w:rPr>
      </w:pPr>
      <w:r>
        <w:rPr>
          <w:color w:val="FF0000"/>
          <w:sz w:val="22"/>
        </w:rPr>
        <w:t>The occurrence or existence of a default, event of default or other similar condition or event (however described) in respect of such Defaulting Party or any Credit Support Provider of such Defaulting Party under one or more other agreements or instruments by and between the parties hereto.</w:t>
      </w:r>
    </w:p>
    <w:p>
      <w:pPr>
        <w:pStyle w:val="Normal"/>
        <w:spacing w:lineRule="atLeast" w:line="240" w:before="240" w:after="0"/>
        <w:ind w:firstLine="720" w:end="0"/>
        <w:jc w:val="both"/>
        <w:rPr/>
      </w:pPr>
      <w:r>
        <w:rPr>
          <w:color w:val="000000"/>
          <w:sz w:val="22"/>
        </w:rPr>
        <w:t>(i)</w:t>
        <w:tab/>
      </w:r>
      <w:r>
        <w:rPr>
          <w:b/>
          <w:color w:val="000000"/>
          <w:sz w:val="22"/>
        </w:rPr>
        <w:t xml:space="preserve">Additional Definitions.  </w:t>
      </w:r>
      <w:r>
        <w:rPr>
          <w:color w:val="000000"/>
          <w:sz w:val="22"/>
        </w:rPr>
        <w:t>Section 14 of the Agreement is hereby amended by adding the following definitions:</w:t>
      </w:r>
    </w:p>
    <w:p>
      <w:pPr>
        <w:pStyle w:val="Normal"/>
        <w:ind w:start="720" w:end="0"/>
        <w:jc w:val="both"/>
        <w:rPr>
          <w:color w:val="000000"/>
          <w:sz w:val="22"/>
        </w:rPr>
      </w:pPr>
      <w:r>
        <w:rPr>
          <w:color w:val="000000"/>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spacing w:lineRule="atLeast" w:line="240"/>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BodyTextIndent"/>
        <w:rPr/>
      </w:pPr>
      <w:r>
        <w:rPr/>
        <w:t>Party B is a corporation organized under the laws of the State of ______________________.</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B’s Credit Support Provider</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Power Marketing, Inc.</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Power Marketing, Inc., Attention:  Corporate Secretary at the above address and facsimile no. (713) 853-2534, and (ii) Enron Power Marketing, Inc.,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Merrill Lynch Capital Services, Inc.</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Guaranty dated as of the date hereof by Merrill Lynch &amp; Co., Inc. in favor of Party A as beneficiary thereof in the form attached hereto as </w:t>
      </w:r>
      <w:r>
        <w:rPr>
          <w:sz w:val="22"/>
          <w:u w:val="single"/>
        </w:rPr>
        <w:t>Exhibit B</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Merrill Lynch &amp; Co., Inc.</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Header"/>
        <w:widowControl/>
        <w:rPr>
          <w:sz w:val="22"/>
        </w:rPr>
      </w:pPr>
      <w:r>
        <w:rPr>
          <w:sz w:val="22"/>
        </w:rPr>
      </w:r>
    </w:p>
    <w:p>
      <w:pPr>
        <w:pStyle w:val="Header"/>
        <w:widowControl/>
        <w:rPr/>
      </w:pPr>
      <w:r>
        <w:rPr/>
      </w:r>
      <w:r>
        <w:br w:type="page"/>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ENRON POWER MARKETING, INC.</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ind w:hanging="0" w:start="0"/>
              <w:rPr/>
            </w:pPr>
            <w:r>
              <w:rPr/>
              <w:t>MERRILL LYNCH CAPITAL SERVICES, INC.</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tabs>
          <w:tab w:val="clear" w:pos="720"/>
          <w:tab w:val="left" w:pos="2700" w:leader="none"/>
        </w:tabs>
        <w:spacing w:lineRule="exact" w:line="240"/>
        <w:ind w:hanging="3060" w:start="3060" w:end="0"/>
        <w:jc w:val="both"/>
        <w:rPr>
          <w:sz w:val="22"/>
        </w:rPr>
      </w:pPr>
      <w:r>
        <w:rPr>
          <w:sz w:val="22"/>
        </w:rPr>
        <w:t>EXHIBIT B</w:t>
        <w:tab/>
        <w:t>FORM OF GUARANTY (PARTY B)</w:t>
      </w:r>
    </w:p>
    <w:p>
      <w:pPr>
        <w:pStyle w:val="Normal"/>
        <w:tabs>
          <w:tab w:val="clear" w:pos="720"/>
          <w:tab w:val="left" w:pos="2880" w:leader="none"/>
        </w:tabs>
        <w:spacing w:lineRule="exact" w:line="240"/>
        <w:ind w:hanging="2880" w:start="2880" w:end="0"/>
        <w:jc w:val="both"/>
        <w:rPr>
          <w:sz w:val="22"/>
        </w:rPr>
      </w:pPr>
      <w:r>
        <w:rPr>
          <w:sz w:val="22"/>
        </w:rPr>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880" w:leader="none"/>
        </w:tabs>
        <w:spacing w:lineRule="exact" w:line="240"/>
        <w:ind w:hanging="2880" w:start="2880" w:end="0"/>
        <w:jc w:val="both"/>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199__,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MERRILL LYNCH CAPITAL SERVICES, INC., a </w:t>
      </w:r>
      <w:r>
        <w:rPr>
          <w:sz w:val="22"/>
          <w:u w:val="single"/>
        </w:rPr>
        <w:tab/>
        <w:tab/>
        <w:tab/>
      </w:r>
      <w:r>
        <w:rPr>
          <w:sz w:val="22"/>
        </w:rPr>
        <w:t xml:space="preserve"> corporation (“Counterparty”) and ENRON POWER MARKETING, INC. (“Enron”), an indirect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Merrill Lynch Capital Services, Inc.</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Power Marketing, Inc.,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199_,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rPr>
      </w:pPr>
      <w:r>
        <w:rPr>
          <w:sz w:val="22"/>
        </w:rPr>
      </w:r>
    </w:p>
    <w:p>
      <w:pPr>
        <w:pStyle w:val="Normal"/>
        <w:spacing w:lineRule="exact" w:line="240"/>
        <w:ind w:end="720"/>
        <w:jc w:val="center"/>
        <w:rPr>
          <w:b/>
          <w:sz w:val="22"/>
        </w:rPr>
      </w:pPr>
      <w:r>
        <w:rPr>
          <w:b/>
          <w:sz w:val="22"/>
          <w:u w:val="single"/>
        </w:rPr>
        <w:t xml:space="preserve">EXHIBIT </w:t>
      </w:r>
      <w:r>
        <w:rPr>
          <w:b/>
          <w:color w:val="FF0000"/>
          <w:sz w:val="22"/>
          <w:u w:val="single"/>
        </w:rPr>
        <w:t>B</w:t>
      </w:r>
    </w:p>
    <w:p>
      <w:pPr>
        <w:pStyle w:val="Normal"/>
        <w:spacing w:lineRule="exact" w:line="240"/>
        <w:ind w:end="720"/>
        <w:jc w:val="center"/>
        <w:rPr>
          <w:b/>
          <w:sz w:val="22"/>
        </w:rPr>
      </w:pPr>
      <w:r>
        <w:rPr>
          <w:b/>
          <w:sz w:val="22"/>
        </w:rPr>
      </w:r>
    </w:p>
    <w:p>
      <w:pPr>
        <w:pStyle w:val="Normal"/>
        <w:spacing w:lineRule="exact" w:line="240"/>
        <w:ind w:end="720"/>
        <w:jc w:val="center"/>
        <w:rPr>
          <w:b/>
          <w:color w:val="000000"/>
          <w:sz w:val="22"/>
        </w:rPr>
      </w:pPr>
      <w:r>
        <w:rPr>
          <w:b/>
          <w:color w:val="000000"/>
          <w:sz w:val="22"/>
        </w:rPr>
        <w:t>MERRILL LYNCH &amp; CO., INC.</w:t>
      </w:r>
    </w:p>
    <w:p>
      <w:pPr>
        <w:pStyle w:val="Normal"/>
        <w:ind w:end="720"/>
        <w:jc w:val="center"/>
        <w:rPr>
          <w:b/>
          <w:color w:val="000000"/>
          <w:sz w:val="22"/>
        </w:rPr>
      </w:pPr>
      <w:r>
        <w:rPr>
          <w:b/>
          <w:color w:val="000000"/>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exact" w:line="240"/>
        <w:ind w:firstLine="720" w:end="90"/>
        <w:jc w:val="both"/>
        <w:rPr/>
      </w:pPr>
      <w:r>
        <w:rPr>
          <w:sz w:val="22"/>
        </w:rPr>
        <w:t xml:space="preserve">This Guaranty (the “Guaranty”), dated as of </w:t>
      </w:r>
      <w:r>
        <w:rPr>
          <w:sz w:val="22"/>
          <w:u w:val="single"/>
        </w:rPr>
        <w:tab/>
        <w:tab/>
        <w:tab/>
      </w:r>
      <w:r>
        <w:rPr>
          <w:sz w:val="22"/>
        </w:rPr>
        <w:t>, 199</w:t>
      </w:r>
      <w:r>
        <w:rPr>
          <w:sz w:val="22"/>
          <w:u w:val="single"/>
        </w:rPr>
        <w:tab/>
      </w:r>
      <w:r>
        <w:rPr>
          <w:sz w:val="22"/>
        </w:rPr>
        <w:t xml:space="preserve">, is made and entered into by </w:t>
      </w:r>
      <w:r>
        <w:rPr>
          <w:color w:val="000000"/>
          <w:sz w:val="22"/>
        </w:rPr>
        <w:t>MERRILL LYNCH &amp; CO., INC.</w:t>
      </w:r>
      <w:r>
        <w:rPr>
          <w:sz w:val="22"/>
        </w:rPr>
        <w:t xml:space="preserve">, a </w:t>
      </w:r>
      <w:r>
        <w:rPr>
          <w:sz w:val="22"/>
          <w:u w:val="single"/>
        </w:rPr>
        <w:tab/>
        <w:tab/>
        <w:tab/>
        <w:tab/>
      </w:r>
      <w:r>
        <w:rPr>
          <w:sz w:val="22"/>
        </w:rPr>
        <w:t xml:space="preserve">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MERRILL LYNCH CAPITAL SERVICES, INC., a wholly owned subsidiary of Guarantor (“Counterparty”) and </w:t>
      </w:r>
      <w:r>
        <w:rPr>
          <w:caps/>
          <w:sz w:val="22"/>
        </w:rPr>
        <w:t>Enron POWER MARKETING, INC.</w:t>
      </w:r>
      <w:r>
        <w:rPr>
          <w:sz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Enron Power Marketing, Inc.</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BodyText"/>
              <w:keepNext w:val="true"/>
              <w:keepLines/>
              <w:widowControl/>
              <w:tabs>
                <w:tab w:val="clear" w:pos="720"/>
                <w:tab w:val="right" w:pos="2988" w:leader="none"/>
              </w:tabs>
              <w:spacing w:lineRule="atLeast" w:line="240"/>
              <w:rPr/>
            </w:pPr>
            <w:r>
              <w:rPr/>
              <w:t>Merrill Lynch &amp; Co., Inc.</w:t>
            </w:r>
          </w:p>
          <w:p>
            <w:pPr>
              <w:pStyle w:val="Normal"/>
              <w:keepNext w:val="true"/>
              <w:keepLines/>
              <w:tabs>
                <w:tab w:val="clear" w:pos="720"/>
                <w:tab w:val="right" w:pos="2988" w:leader="none"/>
              </w:tabs>
              <w:spacing w:lineRule="atLeast" w:line="240"/>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Enron Power Marketing, Inc., (i) Attention:  Corporate Secretary, Fax No. (713) 853-2534, and (ii)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199_, but it is effective as of the date first above written.</w:t>
      </w:r>
    </w:p>
    <w:p>
      <w:pPr>
        <w:pStyle w:val="Normal"/>
        <w:spacing w:lineRule="atLeast" w:line="240"/>
        <w:jc w:val="both"/>
        <w:rPr>
          <w:b/>
          <w:sz w:val="22"/>
        </w:rPr>
      </w:pPr>
      <w:r>
        <w:rPr>
          <w:b/>
          <w:sz w:val="22"/>
        </w:rPr>
      </w:r>
    </w:p>
    <w:p>
      <w:pPr>
        <w:pStyle w:val="Normal"/>
        <w:spacing w:lineRule="exact" w:line="240"/>
        <w:ind w:start="5040" w:end="0"/>
        <w:jc w:val="both"/>
        <w:rPr>
          <w:b/>
          <w:sz w:val="22"/>
        </w:rPr>
      </w:pPr>
      <w:r>
        <w:rPr>
          <w:b/>
          <w:sz w:val="22"/>
        </w:rPr>
        <w:t>MERRILL LYNCH &amp; CO., INC.</w:t>
      </w:r>
    </w:p>
    <w:p>
      <w:pPr>
        <w:pStyle w:val="Normal"/>
        <w:spacing w:lineRule="exac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p>
      <w:pPr>
        <w:pStyle w:val="Normal"/>
        <w:keepNext w:val="true"/>
        <w:jc w:val="center"/>
        <w:rPr/>
      </w:pPr>
      <w:r>
        <w:rPr/>
      </w:r>
    </w:p>
    <w:sectPr>
      <w:headerReference w:type="default" r:id="rId6"/>
      <w:headerReference w:type="first" r:id="rId7"/>
      <w:footerReference w:type="default" r:id="rId8"/>
      <w:footerReference w:type="first" r:id="rId9"/>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/mnt/main-storage/datasets/enron-docs/doc/142ctr.doc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/mnt/main-storage/datasets/enron-docs/doc/142ctr.doc</w:t>
    </w:r>
    <w:r>
      <w:rPr>
        <w:sz w:val="16"/>
      </w:rPr>
      <w:fldChar w:fldCharType="end"/>
    </w:r>
  </w:p>
  <w:p>
    <w:pPr>
      <w:pStyle w:val="Footer"/>
      <w:widowControl/>
      <w:jc w:val="center"/>
      <w:rPr>
        <w:sz w:val="16"/>
      </w:rPr>
    </w:pPr>
    <w:r>
      <w:rPr>
        <w:sz w:val="16"/>
      </w:rPr>
    </w:r>
  </w:p>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/mnt/main-storage/datasets/enron-docs/doc/142ctr.doc</w:t>
    </w:r>
    <w:r>
      <w:rPr>
        <w:sz w:val="16"/>
      </w:rPr>
      <w:fldChar w:fldCharType="end"/>
    </w:r>
  </w:p>
  <w:p>
    <w:pPr>
      <w:pStyle w:val="Footer"/>
      <w:widowControl/>
      <w:tabs>
        <w:tab w:val="clear" w:pos="4320"/>
        <w:tab w:val="right" w:pos="8640" w:leader="none"/>
      </w:tabs>
      <w:ind w:end="360"/>
      <w:jc w:val="center"/>
      <w:rPr>
        <w:sz w:val="16"/>
      </w:rPr>
    </w:pPr>
    <w:r>
      <w:rPr>
        <w:sz w:val="16"/>
      </w:rPr>
    </w:r>
  </w:p>
  <w:p>
    <w:pPr>
      <w:pStyle w:val="Footer"/>
      <w:widowControl/>
      <w:tabs>
        <w:tab w:val="clear" w:pos="4320"/>
        <w:tab w:val="right" w:pos="8640" w:leader="none"/>
      </w:tabs>
      <w:ind w:end="360"/>
      <w:jc w:val="center"/>
      <w:rPr/>
    </w:pPr>
    <w:r>
      <w:rPr/>
      <w:t>Exhibit B</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jc w:val="both"/>
      <w:outlineLvl w:val="3"/>
    </w:pPr>
    <w:rPr>
      <w:b/>
      <w:sz w:val="22"/>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spacing w:lineRule="exact" w:line="240" w:before="240" w:after="0"/>
      <w:ind w:hanging="0" w:start="90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1999-12-17T19:27:00Z</dcterms:created>
  <dc:creator>mheard</dc:creator>
  <dc:description/>
  <dc:language>en-CA</dc:language>
  <cp:lastModifiedBy>sflynn2</cp:lastModifiedBy>
  <cp:lastPrinted>1999-12-17T17:08:00Z</cp:lastPrinted>
  <dcterms:modified xsi:type="dcterms:W3CDTF">1999-12-17T20:39:00Z</dcterms:modified>
  <cp:revision>9</cp:revision>
  <dc:subject/>
  <dc:title>ISDA Multicurrency Agreement</dc:title>
</cp:coreProperties>
</file>