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M E M O R A N D U M</w:t>
      </w:r>
    </w:p>
    <w:p>
      <w:pPr>
        <w:pStyle w:val="Normal"/>
        <w:jc w:val="both"/>
        <w:rPr>
          <w:b/>
          <w:bCs/>
          <w:sz w:val="28"/>
        </w:rPr>
      </w:pPr>
      <w:r>
        <w:rPr>
          <w:b/>
          <w:bCs/>
          <w:sz w:val="28"/>
        </w:rPr>
      </w:r>
    </w:p>
    <w:p>
      <w:pPr>
        <w:pStyle w:val="Normal"/>
        <w:jc w:val="both"/>
        <w:rPr/>
      </w:pPr>
      <w:r>
        <w:rPr/>
      </w:r>
    </w:p>
    <w:p>
      <w:pPr>
        <w:pStyle w:val="Normal"/>
        <w:jc w:val="both"/>
        <w:rPr/>
      </w:pPr>
      <w:r>
        <w:rPr/>
        <w:t>DATE:</w:t>
        <w:tab/>
        <w:tab/>
        <w:t>May 23, 2001</w:t>
      </w:r>
    </w:p>
    <w:p>
      <w:pPr>
        <w:pStyle w:val="Normal"/>
        <w:jc w:val="both"/>
        <w:rPr/>
      </w:pPr>
      <w:r>
        <w:rPr/>
      </w:r>
    </w:p>
    <w:p>
      <w:pPr>
        <w:pStyle w:val="Normal"/>
        <w:jc w:val="both"/>
        <w:rPr/>
      </w:pPr>
      <w:r>
        <w:rPr/>
        <w:t>RE:</w:t>
        <w:tab/>
        <w:tab/>
        <w:t>Federal Emergency Authority with Respect to Electricity</w:t>
      </w:r>
    </w:p>
    <w:p>
      <w:pPr>
        <w:pStyle w:val="Normal"/>
        <w:jc w:val="both"/>
        <w:rPr/>
      </w:pPr>
      <w:r>
        <w:rPr/>
      </w:r>
    </w:p>
    <w:p>
      <w:pPr>
        <w:pStyle w:val="Normal"/>
        <w:jc w:val="both"/>
        <w:rPr/>
      </w:pPr>
      <w:r>
        <w:rPr/>
      </w:r>
    </w:p>
    <w:p>
      <w:pPr>
        <w:pStyle w:val="Normal"/>
        <w:ind w:firstLine="720" w:end="0"/>
        <w:jc w:val="both"/>
        <w:rPr/>
      </w:pPr>
      <w:r>
        <w:rPr/>
        <w:t>This memorandum identifies various authorities of the federal government which, arguably, could be used to provide for adequate electricity supply</w:t>
      </w:r>
      <w:r>
        <w:rPr>
          <w:rStyle w:val="FootnoteCharacters"/>
          <w:rStyle w:val="FootnoteReference"/>
          <w:vertAlign w:val="superscript"/>
        </w:rPr>
        <w:footnoteReference w:id="2"/>
      </w:r>
      <w:r>
        <w:rPr/>
        <w:t xml:space="preserve"> and transmission, and to reduce the demand for electricity during an emergency.</w:t>
      </w:r>
      <w:r>
        <w:rPr>
          <w:rStyle w:val="FootnoteCharacters"/>
          <w:rStyle w:val="FootnoteReference"/>
          <w:vertAlign w:val="superscript"/>
        </w:rPr>
        <w:footnoteReference w:id="3"/>
      </w:r>
    </w:p>
    <w:p>
      <w:pPr>
        <w:pStyle w:val="Normal"/>
        <w:jc w:val="both"/>
        <w:rPr/>
      </w:pPr>
      <w:r>
        <w:rPr/>
      </w:r>
    </w:p>
    <w:p>
      <w:pPr>
        <w:pStyle w:val="Normal"/>
        <w:rPr>
          <w:b/>
          <w:bCs/>
        </w:rPr>
      </w:pPr>
      <w:r>
        <w:rPr>
          <w:b/>
          <w:bCs/>
        </w:rPr>
        <w:t>I.</w:t>
        <w:tab/>
        <w:t>Electricity Supply</w:t>
      </w:r>
    </w:p>
    <w:p>
      <w:pPr>
        <w:pStyle w:val="Normal"/>
        <w:jc w:val="both"/>
        <w:rPr>
          <w:b/>
          <w:bCs/>
        </w:rPr>
      </w:pPr>
      <w:r>
        <w:rPr>
          <w:b/>
          <w:bCs/>
        </w:rPr>
      </w:r>
    </w:p>
    <w:p>
      <w:pPr>
        <w:pStyle w:val="Normal"/>
        <w:jc w:val="both"/>
        <w:rPr/>
      </w:pPr>
      <w:r>
        <w:rPr/>
        <w:tab/>
        <w:t>As discussed below, the authority of the Secretary of Energy to order the generation and sale of electric power during periods of emergency generally has been accepted.  This authority, however, cannot ensure an adequate supply of electricity where (1) there is insufficient generating capacity and (2) generating entities cannot be assured of receiving compensation for power they provide.  In such a situation, the federal government may turn to other of its authorities -- for example, authority granted to the Federal Reserve Bank, the Department of the Treasury, the Nuclear Regulatory Commission, the President and the Department of Defense -- in order to ensure an adequate supply of electricity to consumers.</w:t>
      </w:r>
    </w:p>
    <w:p>
      <w:pPr>
        <w:pStyle w:val="Normal"/>
        <w:jc w:val="both"/>
        <w:rPr/>
      </w:pPr>
      <w:r>
        <w:rPr/>
      </w:r>
    </w:p>
    <w:p>
      <w:pPr>
        <w:pStyle w:val="Normal"/>
        <w:numPr>
          <w:ilvl w:val="0"/>
          <w:numId w:val="0"/>
        </w:numPr>
        <w:ind w:firstLine="720" w:end="0"/>
        <w:jc w:val="both"/>
        <w:outlineLvl w:val="0"/>
        <w:rPr/>
      </w:pPr>
      <w:r>
        <w:rPr/>
        <w:t>A.</w:t>
        <w:tab/>
      </w:r>
      <w:r>
        <w:rPr>
          <w:u w:val="single"/>
        </w:rPr>
        <w:t>Generation and Sale of Electricity</w:t>
      </w:r>
    </w:p>
    <w:p>
      <w:pPr>
        <w:pStyle w:val="Normal"/>
        <w:numPr>
          <w:ilvl w:val="0"/>
          <w:numId w:val="0"/>
        </w:numPr>
        <w:jc w:val="both"/>
        <w:outlineLvl w:val="0"/>
        <w:rPr/>
      </w:pPr>
      <w:r>
        <w:rPr/>
      </w:r>
    </w:p>
    <w:p>
      <w:pPr>
        <w:pStyle w:val="Normal"/>
        <w:numPr>
          <w:ilvl w:val="0"/>
          <w:numId w:val="0"/>
        </w:numPr>
        <w:ind w:firstLine="720" w:start="720" w:end="0"/>
        <w:jc w:val="both"/>
        <w:outlineLvl w:val="0"/>
        <w:rPr>
          <w:i/>
          <w:i/>
          <w:iCs/>
        </w:rPr>
      </w:pPr>
      <w:r>
        <w:rPr>
          <w:i/>
          <w:iCs/>
        </w:rPr>
        <w:t>1.</w:t>
        <w:tab/>
        <w:t>Department of  Energy</w:t>
      </w:r>
    </w:p>
    <w:p>
      <w:pPr>
        <w:pStyle w:val="Normal"/>
        <w:numPr>
          <w:ilvl w:val="0"/>
          <w:numId w:val="0"/>
        </w:numPr>
        <w:jc w:val="both"/>
        <w:outlineLvl w:val="0"/>
        <w:rPr>
          <w:i/>
          <w:i/>
          <w:iCs/>
        </w:rPr>
      </w:pPr>
      <w:r>
        <w:rPr>
          <w:i/>
          <w:iCs/>
        </w:rPr>
      </w:r>
    </w:p>
    <w:p>
      <w:pPr>
        <w:pStyle w:val="Normal"/>
        <w:numPr>
          <w:ilvl w:val="0"/>
          <w:numId w:val="0"/>
        </w:numPr>
        <w:ind w:firstLine="720" w:end="0"/>
        <w:jc w:val="both"/>
        <w:outlineLvl w:val="0"/>
        <w:rPr/>
      </w:pPr>
      <w:r>
        <w:rPr/>
        <w:t>The Secretary of Energy</w:t>
      </w:r>
      <w:r>
        <w:rPr>
          <w:rStyle w:val="FootnoteCharacters"/>
          <w:rStyle w:val="FootnoteReference"/>
          <w:vertAlign w:val="superscript"/>
        </w:rPr>
        <w:footnoteReference w:id="4"/>
      </w:r>
      <w:r>
        <w:rPr/>
        <w:t xml:space="preserve"> may require generating entities to generate and to sell power under Section 202(c) of the Federal Power Act ("FPA"), which provides, in relevant part:</w:t>
      </w:r>
    </w:p>
    <w:p>
      <w:pPr>
        <w:pStyle w:val="Normal"/>
        <w:numPr>
          <w:ilvl w:val="0"/>
          <w:numId w:val="0"/>
        </w:numPr>
        <w:jc w:val="both"/>
        <w:outlineLvl w:val="0"/>
        <w:rPr/>
      </w:pPr>
      <w:r>
        <w:rPr/>
      </w:r>
    </w:p>
    <w:p>
      <w:pPr>
        <w:pStyle w:val="Normal"/>
        <w:ind w:start="1440" w:end="1440"/>
        <w:jc w:val="both"/>
        <w:rPr/>
      </w:pPr>
      <w:r>
        <w:rPr/>
        <w:t>. . . whenever the Commission determines that an emergency exists by reason of a sudden increase in the demand for electric energy, or a shortage of electric energy or of facilities for the generation or transmission of electric energy, or fuel or water for generating facilities, or other causes, the Commission shall have authority, either upon its own motion or upon complaint, with or without notice, hearing, or report, to require by order such temporary connections of facilities and such generation, delivery, interchange, or transmission of electric energy as in its judgment will best meet the emergency and serve the public interest.</w:t>
      </w:r>
      <w:r>
        <w:rPr>
          <w:rStyle w:val="FootnoteCharacters"/>
          <w:rStyle w:val="FootnoteReference"/>
          <w:vertAlign w:val="superscript"/>
        </w:rPr>
        <w:footnoteReference w:id="5"/>
      </w:r>
    </w:p>
    <w:p>
      <w:pPr>
        <w:pStyle w:val="Normal"/>
        <w:ind w:end="1440"/>
        <w:jc w:val="both"/>
        <w:rPr/>
      </w:pPr>
      <w:r>
        <w:rPr/>
      </w:r>
    </w:p>
    <w:p>
      <w:pPr>
        <w:pStyle w:val="FootnoteText"/>
        <w:spacing w:before="0" w:after="0"/>
        <w:ind w:firstLine="720" w:start="0" w:end="0"/>
        <w:rPr/>
      </w:pPr>
      <w:r>
        <w:rPr/>
        <w:t>In 1974, while promulgating regulations under Section 202 of the FPA, the Federal Power Commission ("FPC") interpreted its authority under Section 202(c), citing the following legislative history:</w:t>
      </w:r>
    </w:p>
    <w:p>
      <w:pPr>
        <w:pStyle w:val="FootnoteText"/>
        <w:spacing w:before="0" w:after="0"/>
        <w:ind w:start="0" w:end="0"/>
        <w:rPr/>
      </w:pPr>
      <w:r>
        <w:rPr/>
      </w:r>
    </w:p>
    <w:p>
      <w:pPr>
        <w:pStyle w:val="Normal"/>
        <w:ind w:start="1440" w:end="1440"/>
        <w:jc w:val="both"/>
        <w:rPr/>
      </w:pPr>
      <w:r>
        <w:rPr/>
        <w:t xml:space="preserve">Subsection (c) gives the Commission a much broader and more complete authority to </w:t>
      </w:r>
      <w:r>
        <w:rPr>
          <w:u w:val="single"/>
        </w:rPr>
        <w:t>compel</w:t>
      </w:r>
      <w:r>
        <w:rPr/>
        <w:t xml:space="preserve"> the connection of facilities and the generation, delivery, or interchange of energy during times of war or </w:t>
      </w:r>
      <w:r>
        <w:rPr>
          <w:u w:val="single"/>
        </w:rPr>
        <w:t>other</w:t>
      </w:r>
      <w:r>
        <w:rPr/>
        <w:t xml:space="preserve"> </w:t>
      </w:r>
      <w:r>
        <w:rPr>
          <w:u w:val="single"/>
        </w:rPr>
        <w:t>emergency</w:t>
      </w:r>
      <w:r>
        <w:rPr/>
        <w:t>.  This is a temporary power designed to avoid a repetition of the conditions during the last war [WWI] when a serious power shortage arose.  Drought and other national emergencies have created similar crises in certain sections of the country: such conditions should find a Federal agency ready to do all that can be done in order to prevent a breakdown in electric supply.  S. Rep. No. 621 74th Cong., 1st Session, p. 49 (1935).</w:t>
      </w:r>
      <w:r>
        <w:rPr>
          <w:rStyle w:val="FootnoteCharacters"/>
          <w:rStyle w:val="FootnoteReference"/>
          <w:vertAlign w:val="superscript"/>
        </w:rPr>
        <w:footnoteReference w:id="6"/>
      </w:r>
    </w:p>
    <w:p>
      <w:pPr>
        <w:pStyle w:val="Normal"/>
        <w:ind w:end="1440"/>
        <w:jc w:val="both"/>
        <w:rPr/>
      </w:pPr>
      <w:r>
        <w:rPr/>
      </w:r>
    </w:p>
    <w:p>
      <w:pPr>
        <w:pStyle w:val="Normal"/>
        <w:ind w:firstLine="720" w:end="0"/>
        <w:jc w:val="both"/>
        <w:rPr/>
      </w:pPr>
      <w:r>
        <w:rPr/>
        <w:t>With respect to what constitutes an "emergency" for purposes of Section 202(c) of the FPA, a federal court has concluded that Section 202(c) “. . . is aimed at situations in which demand for electricity exceeds supply. . . .”</w:t>
      </w:r>
      <w:r>
        <w:rPr>
          <w:rStyle w:val="FootnoteCharacters"/>
          <w:rStyle w:val="FootnoteReference"/>
          <w:vertAlign w:val="superscript"/>
        </w:rPr>
        <w:footnoteReference w:id="7"/>
      </w:r>
    </w:p>
    <w:p>
      <w:pPr>
        <w:pStyle w:val="Normal"/>
        <w:autoSpaceDE w:val="false"/>
        <w:ind w:firstLine="720" w:end="0"/>
        <w:jc w:val="both"/>
        <w:rPr/>
      </w:pPr>
      <w:r>
        <w:rPr/>
        <w:t>As we have seen during the past six months, this provision has been used to compel the sale of electric power at wholesale.</w:t>
      </w:r>
      <w:r>
        <w:rPr>
          <w:rStyle w:val="FootnoteCharacters"/>
          <w:rStyle w:val="FootnoteReference"/>
          <w:vertAlign w:val="superscript"/>
        </w:rPr>
        <w:footnoteReference w:id="8"/>
      </w:r>
      <w:r>
        <w:rPr/>
        <w:t xml:space="preserve">  However, given the current situation in California, the more pertinent question with respect to Section 202(c) is whether it confers on the Secretary of Energy authority to order the construction of electricity generation and transmission facilities -- matters typically within the purview of states and localities.  These issues are discussed below.</w:t>
      </w:r>
    </w:p>
    <w:p>
      <w:pPr>
        <w:pStyle w:val="Normal"/>
        <w:autoSpaceDE w:val="false"/>
        <w:jc w:val="both"/>
        <w:rPr/>
      </w:pPr>
      <w:r>
        <w:rPr/>
      </w:r>
    </w:p>
    <w:p>
      <w:pPr>
        <w:pStyle w:val="Normal"/>
        <w:autoSpaceDE w:val="false"/>
        <w:ind w:firstLine="720" w:end="0"/>
        <w:jc w:val="both"/>
        <w:rPr/>
      </w:pPr>
      <w:r>
        <w:rPr/>
        <w:t>In addition, Section 202(c) of the FPA does not guarantee that entities ordered to generate and sell electric power during an emergency will be compensated for that power.  Also discussed below are potential sources of federal funds for electricity generation and transmission.</w:t>
      </w:r>
    </w:p>
    <w:p>
      <w:pPr>
        <w:pStyle w:val="Normal"/>
        <w:autoSpaceDE w:val="false"/>
        <w:ind w:firstLine="720" w:end="0"/>
        <w:jc w:val="both"/>
        <w:rPr/>
      </w:pPr>
      <w:r>
        <w:rPr/>
      </w:r>
    </w:p>
    <w:p>
      <w:pPr>
        <w:pStyle w:val="Normal"/>
        <w:autoSpaceDE w:val="false"/>
        <w:ind w:firstLine="720" w:end="0"/>
        <w:jc w:val="both"/>
        <w:rPr/>
      </w:pPr>
      <w:r>
        <w:rPr/>
        <w:tab/>
      </w:r>
      <w:r>
        <w:rPr>
          <w:i/>
          <w:iCs/>
        </w:rPr>
        <w:t>2.</w:t>
        <w:tab/>
        <w:t>Federal Reserve System</w:t>
      </w:r>
    </w:p>
    <w:p>
      <w:pPr>
        <w:pStyle w:val="Normal"/>
        <w:autoSpaceDE w:val="false"/>
        <w:ind w:firstLine="720" w:end="0"/>
        <w:jc w:val="both"/>
        <w:rPr>
          <w:i/>
          <w:i/>
          <w:iCs/>
        </w:rPr>
      </w:pPr>
      <w:r>
        <w:rPr>
          <w:i/>
          <w:iCs/>
        </w:rPr>
      </w:r>
    </w:p>
    <w:p>
      <w:pPr>
        <w:pStyle w:val="Normal"/>
        <w:autoSpaceDE w:val="false"/>
        <w:ind w:firstLine="720" w:end="0"/>
        <w:jc w:val="both"/>
        <w:rPr/>
      </w:pPr>
      <w:r>
        <w:rPr>
          <w:rFonts w:cs="Courier New"/>
          <w:szCs w:val="17"/>
        </w:rPr>
        <w:t>In Senate hearings held earlier this year on the electricity crisis in California, Senator Murkowski (R-AK) raised the issue whether the federal government could be required to ensure payment for power generated and sold under order of the Secretary of Energy pursuant to Section 202(c) of the FPA.  It may be argued that, d</w:t>
      </w:r>
      <w:r>
        <w:rPr/>
        <w:t>uring a time of emergency with respect to electricity supplies, the Federal Reserve System could be a federal source of funds for the purchase of power or the construction of facilities ordered by the Secretary of Energy under Section 202(c) of the FPA.  The Federal Reserve Act provides that:</w:t>
      </w:r>
    </w:p>
    <w:p>
      <w:pPr>
        <w:pStyle w:val="Normal"/>
        <w:autoSpaceDE w:val="false"/>
        <w:jc w:val="both"/>
        <w:rPr/>
      </w:pPr>
      <w:r>
        <w:rPr/>
      </w:r>
    </w:p>
    <w:p>
      <w:pPr>
        <w:pStyle w:val="Normal"/>
        <w:autoSpaceDE w:val="false"/>
        <w:ind w:start="1440" w:end="1440"/>
        <w:jc w:val="both"/>
        <w:rPr/>
      </w:pPr>
      <w:r>
        <w:rPr/>
        <w:t>Subject to such limitations, restrictions and regulations as the Board of Governors of the Federal Reserve System may prescribe, any Federal reserve bank may make advances to any individual, partnership or corporation on the promissory notes of such individual, partnership or corporation secured by direct obligations of the United States or by any obligation which is a direct obligation of, or fully guaranteed as to principal and interest by, any agency of the United States.  Such advances shall be made for periods not exceeding 90 days and shall bear interest at rates fixed from time to time by the Federal reserve bank subject to the review and determination of the Board of Governors of the Federal Reserve System.</w:t>
      </w:r>
      <w:r>
        <w:rPr>
          <w:rStyle w:val="FootnoteCharacters"/>
          <w:rStyle w:val="FootnoteReference"/>
          <w:vertAlign w:val="superscript"/>
        </w:rPr>
        <w:footnoteReference w:id="9"/>
      </w:r>
    </w:p>
    <w:p>
      <w:pPr>
        <w:pStyle w:val="Normal"/>
        <w:autoSpaceDE w:val="false"/>
        <w:jc w:val="both"/>
        <w:rPr/>
      </w:pPr>
      <w:r>
        <w:rPr/>
      </w:r>
    </w:p>
    <w:p>
      <w:pPr>
        <w:pStyle w:val="Normal"/>
        <w:autoSpaceDE w:val="false"/>
        <w:jc w:val="both"/>
        <w:rPr/>
      </w:pPr>
      <w:r>
        <w:rPr/>
        <w:tab/>
        <w:t>The Federal Reserve Act also may provide a means of relief for entities that have suffered financially as a result of the electricity crisis in California.  The Act provides that:</w:t>
      </w:r>
    </w:p>
    <w:p>
      <w:pPr>
        <w:pStyle w:val="Normal"/>
        <w:autoSpaceDE w:val="false"/>
        <w:jc w:val="both"/>
        <w:rPr/>
      </w:pPr>
      <w:r>
        <w:rPr/>
      </w:r>
    </w:p>
    <w:p>
      <w:pPr>
        <w:pStyle w:val="Normal"/>
        <w:autoSpaceDE w:val="false"/>
        <w:ind w:start="1440" w:end="1440"/>
        <w:jc w:val="both"/>
        <w:rPr/>
      </w:pPr>
      <w:r>
        <w:rPr/>
        <w:t xml:space="preserve">In unusual and exigent circumstances, the Board of Governors of the Federal Reserve System . . . may authorize any Federal reserve bank, during such periods as the said board may determine, at rates established in accordance with the provisions of section 357 of this title, to discount for any individual, partnership, or corporation, notes, drafts, and bills of exchange when such notes, drafts, and bills of exchange are indorsed or otherwise secured to the satisfaction of the Federal reserve bank:  </w:t>
      </w:r>
      <w:r>
        <w:rPr>
          <w:i/>
          <w:iCs/>
        </w:rPr>
        <w:t>Provided,</w:t>
      </w:r>
      <w:r>
        <w:rPr/>
        <w:t xml:space="preserve"> That before discounting any such note, draft, or bill of exchange for an individual or a partnership or corporation the Federal reserve bank shall obtain evidence that such individual, partnership, or corporation is unable to secure adequate credit accommodations from other banking institutions.  All such discounts for individuals, partnerships, or corporations shall be subject to such limitations, restrictions, and regulations as the Board of Governors of the Federal Reserve System may prescribe.</w:t>
      </w:r>
      <w:r>
        <w:rPr>
          <w:rStyle w:val="FootnoteCharacters"/>
          <w:rStyle w:val="FootnoteReference"/>
          <w:vertAlign w:val="superscript"/>
        </w:rPr>
        <w:footnoteReference w:id="10"/>
      </w:r>
    </w:p>
    <w:p>
      <w:pPr>
        <w:pStyle w:val="Normal"/>
        <w:autoSpaceDE w:val="false"/>
        <w:ind w:end="1440"/>
        <w:jc w:val="both"/>
        <w:rPr/>
      </w:pPr>
      <w:r>
        <w:rPr/>
      </w:r>
    </w:p>
    <w:p>
      <w:pPr>
        <w:pStyle w:val="Normal"/>
        <w:autoSpaceDE w:val="false"/>
        <w:ind w:firstLine="720" w:start="720" w:end="86"/>
        <w:jc w:val="both"/>
        <w:rPr>
          <w:i/>
          <w:i/>
          <w:iCs/>
        </w:rPr>
      </w:pPr>
      <w:r>
        <w:rPr>
          <w:i/>
          <w:iCs/>
        </w:rPr>
        <w:t>3.</w:t>
        <w:tab/>
        <w:t>Department of the Treasury</w:t>
      </w:r>
    </w:p>
    <w:p>
      <w:pPr>
        <w:pStyle w:val="Normal"/>
        <w:autoSpaceDE w:val="false"/>
        <w:ind w:end="86"/>
        <w:jc w:val="both"/>
        <w:rPr>
          <w:i/>
          <w:i/>
          <w:iCs/>
        </w:rPr>
      </w:pPr>
      <w:r>
        <w:rPr>
          <w:i/>
          <w:iCs/>
        </w:rPr>
      </w:r>
    </w:p>
    <w:p>
      <w:pPr>
        <w:pStyle w:val="Normal"/>
        <w:autoSpaceDE w:val="false"/>
        <w:ind w:firstLine="720" w:end="0"/>
        <w:jc w:val="both"/>
        <w:rPr/>
      </w:pPr>
      <w:r>
        <w:rPr/>
        <w:t>It also may be argued that funds within the control of the Department of the Treasury ("Treasury") could be used during times of emergency to ensure payments for power provided under order issued pursuant to Section 202(c) of the FPA.</w:t>
      </w:r>
    </w:p>
    <w:p>
      <w:pPr>
        <w:pStyle w:val="Normal"/>
        <w:autoSpaceDE w:val="false"/>
        <w:jc w:val="both"/>
        <w:rPr>
          <w:rFonts w:cs="Courier New"/>
          <w:szCs w:val="17"/>
        </w:rPr>
      </w:pPr>
      <w:r>
        <w:rPr>
          <w:rFonts w:cs="Courier New"/>
          <w:szCs w:val="17"/>
        </w:rPr>
      </w:r>
    </w:p>
    <w:p>
      <w:pPr>
        <w:pStyle w:val="Normal"/>
        <w:autoSpaceDE w:val="false"/>
        <w:ind w:firstLine="720" w:end="0"/>
        <w:jc w:val="both"/>
        <w:rPr/>
      </w:pPr>
      <w:r>
        <w:rPr>
          <w:rFonts w:cs="Courier New"/>
          <w:szCs w:val="17"/>
        </w:rPr>
        <w:t>The Exchange Stabilization Fund ("ESF") was established to support the U.S. dollar during times of emergency, and the Treasury may use the ESF without congressional approval.  Although it has been used primarily to buy and sell dollars to stabilize the U.S. currency, the ESF also has been used to make short-term loans to other countries.  The terms of loans from the ESF are limited to six months unless the President notifies Congress that there are "unique or emergency circumstances"</w:t>
      </w:r>
      <w:r>
        <w:rPr>
          <w:rStyle w:val="FootnoteCharacters"/>
          <w:rStyle w:val="FootnoteReference"/>
          <w:rFonts w:cs="Courier New"/>
          <w:szCs w:val="17"/>
          <w:vertAlign w:val="superscript"/>
        </w:rPr>
        <w:footnoteReference w:id="11"/>
      </w:r>
      <w:r>
        <w:rPr>
          <w:rFonts w:cs="Courier New"/>
          <w:szCs w:val="17"/>
        </w:rPr>
        <w:t xml:space="preserve"> requiring a longer term.  Given that California has the 7th largest economy in the world, and that the electricity crisis in California is, in turn, creating an economic crisis in that state which could effect the national economy, it may be argued that the Treasury should be able to use the ESF in order to guarantee payment for power provided under emergency order.</w:t>
      </w:r>
    </w:p>
    <w:p>
      <w:pPr>
        <w:pStyle w:val="Normal"/>
        <w:autoSpaceDE w:val="false"/>
        <w:jc w:val="both"/>
        <w:rPr>
          <w:rFonts w:cs="Courier New"/>
          <w:szCs w:val="17"/>
        </w:rPr>
      </w:pPr>
      <w:r>
        <w:rPr>
          <w:rFonts w:cs="Courier New"/>
          <w:szCs w:val="17"/>
        </w:rPr>
      </w:r>
    </w:p>
    <w:p>
      <w:pPr>
        <w:pStyle w:val="Normal"/>
        <w:autoSpaceDE w:val="false"/>
        <w:jc w:val="both"/>
        <w:rPr/>
      </w:pPr>
      <w:r>
        <w:rPr/>
        <w:tab/>
        <w:tab/>
      </w:r>
      <w:r>
        <w:rPr>
          <w:i/>
          <w:iCs/>
        </w:rPr>
        <w:t>4.</w:t>
        <w:tab/>
        <w:t>Nuclear Regulatory Commission</w:t>
      </w:r>
    </w:p>
    <w:p>
      <w:pPr>
        <w:pStyle w:val="Normal"/>
        <w:autoSpaceDE w:val="false"/>
        <w:jc w:val="both"/>
        <w:rPr>
          <w:i/>
          <w:i/>
          <w:iCs/>
        </w:rPr>
      </w:pPr>
      <w:r>
        <w:rPr>
          <w:i/>
          <w:iCs/>
        </w:rPr>
      </w:r>
    </w:p>
    <w:p>
      <w:pPr>
        <w:pStyle w:val="Normal"/>
        <w:autoSpaceDE w:val="false"/>
        <w:jc w:val="both"/>
        <w:rPr/>
      </w:pPr>
      <w:r>
        <w:rPr/>
        <w:tab/>
        <w:t>The Nuclear Regulatory Commission ("NRC") also may exercise its authority to issue operating licenses for nuclear generating plants in order to alleviate the lack of generating facilities in California.  In March 2000, Richard A. Meserve, Chairman of the NRC testified, that "[w]e now have a large number of future applicants who are queuing up to renew their reactor licenses."</w:t>
      </w:r>
      <w:r>
        <w:rPr>
          <w:rStyle w:val="FootnoteCharacters"/>
          <w:rStyle w:val="FootnoteReference"/>
          <w:vertAlign w:val="superscript"/>
        </w:rPr>
        <w:footnoteReference w:id="12"/>
      </w:r>
      <w:r>
        <w:rPr/>
        <w:t xml:space="preserve">  In response to the electricity crisis in California and other parts of the country, the NRC could expedite its review of applications for renewals of operating licenses.</w:t>
      </w:r>
    </w:p>
    <w:p>
      <w:pPr>
        <w:pStyle w:val="Normal"/>
        <w:autoSpaceDE w:val="false"/>
        <w:jc w:val="both"/>
        <w:rPr/>
      </w:pPr>
      <w:r>
        <w:rPr/>
      </w:r>
    </w:p>
    <w:p>
      <w:pPr>
        <w:pStyle w:val="Normal"/>
        <w:autoSpaceDE w:val="false"/>
        <w:jc w:val="both"/>
        <w:rPr/>
      </w:pPr>
      <w:r>
        <w:rPr/>
        <w:tab/>
        <w:tab/>
      </w:r>
      <w:r>
        <w:rPr>
          <w:i/>
          <w:iCs/>
        </w:rPr>
        <w:t>5.</w:t>
        <w:tab/>
        <w:t>The President</w:t>
      </w:r>
    </w:p>
    <w:p>
      <w:pPr>
        <w:pStyle w:val="Normal"/>
        <w:autoSpaceDE w:val="false"/>
        <w:jc w:val="both"/>
        <w:rPr>
          <w:i/>
          <w:i/>
          <w:iCs/>
        </w:rPr>
      </w:pPr>
      <w:r>
        <w:rPr>
          <w:i/>
          <w:iCs/>
        </w:rPr>
      </w:r>
    </w:p>
    <w:p>
      <w:pPr>
        <w:pStyle w:val="Normal"/>
        <w:autoSpaceDE w:val="false"/>
        <w:ind w:firstLine="605" w:start="115" w:end="86"/>
        <w:jc w:val="both"/>
        <w:rPr/>
      </w:pPr>
      <w:r>
        <w:rPr>
          <w:szCs w:val="17"/>
        </w:rPr>
        <w:t xml:space="preserve">It may be argued that the President also has authority which could be used in an emergency to allow for increased generation from existing facilities.  In an emergency situation, the President may order a temporary suspension of Section 411 of the Clean Air Act.  Section 110 (f) of the Clean Air Act </w:t>
      </w:r>
      <w:r>
        <w:rPr>
          <w:color w:val="000000"/>
          <w:szCs w:val="17"/>
        </w:rPr>
        <w:t xml:space="preserve"> provides, in relevant part:</w:t>
      </w:r>
    </w:p>
    <w:p>
      <w:pPr>
        <w:pStyle w:val="Normal"/>
        <w:autoSpaceDE w:val="false"/>
        <w:ind w:end="86"/>
        <w:jc w:val="both"/>
        <w:rPr>
          <w:color w:val="000000"/>
          <w:szCs w:val="17"/>
        </w:rPr>
      </w:pPr>
      <w:r>
        <w:rPr>
          <w:color w:val="000000"/>
          <w:szCs w:val="17"/>
        </w:rPr>
      </w:r>
    </w:p>
    <w:p>
      <w:pPr>
        <w:pStyle w:val="Normal"/>
        <w:autoSpaceDE w:val="false"/>
        <w:ind w:start="1440" w:end="1440"/>
        <w:jc w:val="both"/>
        <w:rPr>
          <w:color w:val="000000"/>
          <w:szCs w:val="17"/>
        </w:rPr>
      </w:pPr>
      <w:r>
        <w:rPr>
          <w:color w:val="000000"/>
          <w:szCs w:val="17"/>
        </w:rPr>
        <w:t>(f)(1) Upon application by the owner or operator of a fuel burning stationary source, and after notice of opportunity for public hearing, the Governor of the State in which such source is located may petition the President to determine that a national or regional energy emergency exists of such severity that:</w:t>
      </w:r>
    </w:p>
    <w:p>
      <w:pPr>
        <w:pStyle w:val="Normal"/>
        <w:autoSpaceDE w:val="false"/>
        <w:ind w:hanging="30" w:start="120" w:end="90"/>
        <w:jc w:val="both"/>
        <w:rPr>
          <w:color w:val="000000"/>
          <w:szCs w:val="17"/>
        </w:rPr>
      </w:pPr>
      <w:r>
        <w:rPr>
          <w:color w:val="000000"/>
          <w:szCs w:val="17"/>
        </w:rPr>
      </w:r>
    </w:p>
    <w:p>
      <w:pPr>
        <w:pStyle w:val="Normal"/>
        <w:autoSpaceDE w:val="false"/>
        <w:ind w:start="2160" w:end="1440"/>
        <w:jc w:val="both"/>
        <w:rPr>
          <w:color w:val="000000"/>
          <w:szCs w:val="17"/>
        </w:rPr>
      </w:pPr>
      <w:r>
        <w:rPr>
          <w:color w:val="000000"/>
          <w:szCs w:val="17"/>
        </w:rPr>
        <w:t>(A)</w:t>
        <w:tab/>
        <w:t>a temporary suspension of any part of the applicable implementation plan or of any requirement under section 7651 of this title (concerning excess emissions penalties or offsets) may be necessary, and</w:t>
      </w:r>
    </w:p>
    <w:p>
      <w:pPr>
        <w:pStyle w:val="Normal"/>
        <w:autoSpaceDE w:val="false"/>
        <w:ind w:hanging="30" w:start="1440" w:end="1440"/>
        <w:jc w:val="both"/>
        <w:rPr>
          <w:color w:val="000000"/>
          <w:szCs w:val="17"/>
        </w:rPr>
      </w:pPr>
      <w:r>
        <w:rPr>
          <w:color w:val="000000"/>
          <w:szCs w:val="17"/>
        </w:rPr>
      </w:r>
    </w:p>
    <w:p>
      <w:pPr>
        <w:pStyle w:val="Normal"/>
        <w:autoSpaceDE w:val="false"/>
        <w:ind w:start="2160" w:end="1440"/>
        <w:jc w:val="both"/>
        <w:rPr>
          <w:color w:val="000000"/>
          <w:szCs w:val="17"/>
        </w:rPr>
      </w:pPr>
      <w:r>
        <w:rPr>
          <w:color w:val="000000"/>
          <w:szCs w:val="17"/>
        </w:rPr>
        <w:t>(B)</w:t>
        <w:tab/>
        <w:t>other means of responding to the energy emergency may be inadequate.</w:t>
      </w:r>
    </w:p>
    <w:p>
      <w:pPr>
        <w:pStyle w:val="Normal"/>
        <w:autoSpaceDE w:val="false"/>
        <w:ind w:hanging="30" w:start="1440" w:end="1440"/>
        <w:jc w:val="both"/>
        <w:rPr>
          <w:color w:val="000000"/>
          <w:szCs w:val="17"/>
        </w:rPr>
      </w:pPr>
      <w:r>
        <w:rPr>
          <w:color w:val="000000"/>
          <w:szCs w:val="17"/>
        </w:rPr>
      </w:r>
    </w:p>
    <w:p>
      <w:pPr>
        <w:pStyle w:val="Normal"/>
        <w:autoSpaceDE w:val="false"/>
        <w:ind w:start="1440" w:end="1440"/>
        <w:jc w:val="both"/>
        <w:rPr>
          <w:color w:val="000000"/>
          <w:szCs w:val="17"/>
        </w:rPr>
      </w:pPr>
      <w:r>
        <w:rPr>
          <w:color w:val="000000"/>
          <w:szCs w:val="17"/>
        </w:rPr>
        <w:t>Such determination shall not be delegable by the President to any other person. If the President determines that a national or regional energy emergency of such severity exists, a temporary emergency suspension of any part of an applicable implementation plan adopted by the State may be issued by the Governor of any State covered by the President's determination under the condition specified in paragraph (2) and may take effect immediately.</w:t>
      </w:r>
    </w:p>
    <w:p>
      <w:pPr>
        <w:pStyle w:val="Normal"/>
        <w:autoSpaceDE w:val="false"/>
        <w:ind w:hanging="30" w:start="120" w:end="90"/>
        <w:jc w:val="both"/>
        <w:rPr>
          <w:color w:val="000000"/>
          <w:szCs w:val="17"/>
        </w:rPr>
      </w:pPr>
      <w:r>
        <w:rPr>
          <w:color w:val="000000"/>
          <w:szCs w:val="17"/>
        </w:rPr>
      </w:r>
    </w:p>
    <w:p>
      <w:pPr>
        <w:pStyle w:val="Normal"/>
        <w:autoSpaceDE w:val="false"/>
        <w:ind w:start="1440" w:end="1440"/>
        <w:jc w:val="both"/>
        <w:rPr>
          <w:color w:val="000000"/>
          <w:szCs w:val="17"/>
        </w:rPr>
      </w:pPr>
      <w:r>
        <w:rPr>
          <w:color w:val="000000"/>
          <w:szCs w:val="17"/>
        </w:rPr>
        <w:t>(2) A temporary emergency suspension under this subsection shall be issued to a source only if the Governor of such State finds that:</w:t>
      </w:r>
    </w:p>
    <w:p>
      <w:pPr>
        <w:pStyle w:val="Normal"/>
        <w:autoSpaceDE w:val="false"/>
        <w:ind w:start="1440" w:end="1440"/>
        <w:jc w:val="both"/>
        <w:rPr>
          <w:color w:val="000000"/>
          <w:szCs w:val="17"/>
        </w:rPr>
      </w:pPr>
      <w:r>
        <w:rPr>
          <w:color w:val="000000"/>
          <w:szCs w:val="17"/>
        </w:rPr>
      </w:r>
    </w:p>
    <w:p>
      <w:pPr>
        <w:pStyle w:val="Normal"/>
        <w:autoSpaceDE w:val="false"/>
        <w:ind w:start="2160" w:end="1440"/>
        <w:jc w:val="both"/>
        <w:rPr>
          <w:color w:val="000000"/>
          <w:szCs w:val="17"/>
        </w:rPr>
      </w:pPr>
      <w:r>
        <w:rPr>
          <w:color w:val="000000"/>
          <w:szCs w:val="17"/>
        </w:rPr>
        <w:t>(A) there exists in the vicinity of such source a temporary energy emergency involving high levels of unemployment or loss of necessary energy supplies for residential dwellings; and</w:t>
      </w:r>
    </w:p>
    <w:p>
      <w:pPr>
        <w:pStyle w:val="Normal"/>
        <w:autoSpaceDE w:val="false"/>
        <w:ind w:start="1440" w:end="1440"/>
        <w:jc w:val="both"/>
        <w:rPr>
          <w:color w:val="000000"/>
          <w:szCs w:val="17"/>
        </w:rPr>
      </w:pPr>
      <w:r>
        <w:rPr>
          <w:color w:val="000000"/>
          <w:szCs w:val="17"/>
        </w:rPr>
      </w:r>
    </w:p>
    <w:p>
      <w:pPr>
        <w:pStyle w:val="Normal"/>
        <w:autoSpaceDE w:val="false"/>
        <w:ind w:start="2160" w:end="1440"/>
        <w:jc w:val="both"/>
        <w:rPr>
          <w:color w:val="000000"/>
          <w:szCs w:val="17"/>
        </w:rPr>
      </w:pPr>
      <w:r>
        <w:rPr>
          <w:color w:val="000000"/>
          <w:szCs w:val="17"/>
        </w:rPr>
        <w:t>(B) such unemployment or loss can be totally or partially alleviated by such emergency suspension.</w:t>
      </w:r>
    </w:p>
    <w:p>
      <w:pPr>
        <w:pStyle w:val="Normal"/>
        <w:autoSpaceDE w:val="false"/>
        <w:ind w:start="1440" w:end="1440"/>
        <w:jc w:val="both"/>
        <w:rPr>
          <w:color w:val="000000"/>
          <w:szCs w:val="17"/>
        </w:rPr>
      </w:pPr>
      <w:r>
        <w:rPr>
          <w:color w:val="000000"/>
          <w:szCs w:val="17"/>
        </w:rPr>
      </w:r>
    </w:p>
    <w:p>
      <w:pPr>
        <w:pStyle w:val="Normal"/>
        <w:autoSpaceDE w:val="false"/>
        <w:ind w:start="1440" w:end="1440"/>
        <w:jc w:val="both"/>
        <w:rPr>
          <w:color w:val="000000"/>
          <w:szCs w:val="17"/>
        </w:rPr>
      </w:pPr>
      <w:r>
        <w:rPr>
          <w:color w:val="000000"/>
          <w:szCs w:val="17"/>
        </w:rPr>
        <w:t>Not more than one such suspension may be issued for any source on the basis of the same set of circumstances or on the basis of the same emergency.</w:t>
      </w:r>
      <w:r>
        <w:rPr>
          <w:rStyle w:val="FootnoteCharacters"/>
          <w:rStyle w:val="FootnoteReference"/>
          <w:color w:val="000000"/>
          <w:szCs w:val="17"/>
          <w:vertAlign w:val="superscript"/>
        </w:rPr>
        <w:footnoteReference w:id="13"/>
      </w:r>
    </w:p>
    <w:p>
      <w:pPr>
        <w:pStyle w:val="Normal"/>
        <w:autoSpaceDE w:val="false"/>
        <w:ind w:end="1440"/>
        <w:jc w:val="both"/>
        <w:rPr>
          <w:color w:val="000000"/>
          <w:szCs w:val="17"/>
        </w:rPr>
      </w:pPr>
      <w:r>
        <w:rPr>
          <w:color w:val="000000"/>
          <w:szCs w:val="17"/>
        </w:rPr>
      </w:r>
    </w:p>
    <w:p>
      <w:pPr>
        <w:pStyle w:val="Normal"/>
        <w:autoSpaceDE w:val="false"/>
        <w:ind w:firstLine="720" w:start="720" w:end="90"/>
        <w:jc w:val="both"/>
        <w:rPr>
          <w:i/>
          <w:i/>
          <w:iCs/>
        </w:rPr>
      </w:pPr>
      <w:r>
        <w:rPr>
          <w:i/>
          <w:iCs/>
        </w:rPr>
        <w:t>6.</w:t>
        <w:tab/>
        <w:t>Department of Defense</w:t>
      </w:r>
    </w:p>
    <w:p>
      <w:pPr>
        <w:pStyle w:val="Normal"/>
        <w:autoSpaceDE w:val="false"/>
        <w:ind w:end="90"/>
        <w:jc w:val="both"/>
        <w:rPr>
          <w:i/>
          <w:i/>
          <w:iCs/>
        </w:rPr>
      </w:pPr>
      <w:r>
        <w:rPr>
          <w:i/>
          <w:iCs/>
        </w:rPr>
      </w:r>
    </w:p>
    <w:p>
      <w:pPr>
        <w:pStyle w:val="Normal"/>
        <w:autoSpaceDE w:val="false"/>
        <w:ind w:end="86"/>
        <w:jc w:val="both"/>
        <w:rPr/>
      </w:pPr>
      <w:r>
        <w:rPr/>
        <w:tab/>
        <w:t>It also could be argued that the Department of Defense ("DOD") may use generating facilities available at military installations to provide power to consumers in California.  On May 3, 2001, the Secretary of Defense announced plans to decrease military peak power demand from the California commercial grid.  At a press conference following the announcement, Deputy Undersecretary of Defense for Installations and the Environment, Ray DuBois ("DuBois"), stated that the DOD plan includes "investments and power generation."  DuBois explained that there are "two fixed natural gas power generation plants" at the Onizuka Air Force Station and at Vandenberg Air Force Base.  DuBois stated that the DOD "will increase, with the permission of the State of California, the Public Utility Commission, the generation of these two fixed natural gas power plants."  He also indicated that DOD is looking into increasing generating capability at a geothermal facility at China Lake.</w:t>
      </w:r>
    </w:p>
    <w:p>
      <w:pPr>
        <w:pStyle w:val="Normal"/>
        <w:autoSpaceDE w:val="false"/>
        <w:ind w:end="86"/>
        <w:jc w:val="both"/>
        <w:rPr/>
      </w:pPr>
      <w:r>
        <w:rPr/>
      </w:r>
    </w:p>
    <w:p>
      <w:pPr>
        <w:pStyle w:val="Normal"/>
        <w:autoSpaceDE w:val="false"/>
        <w:ind w:firstLine="720" w:end="90"/>
        <w:jc w:val="both"/>
        <w:rPr/>
      </w:pPr>
      <w:r>
        <w:rPr/>
        <w:t>DuBois further explained that military bases have available mobile power generators for use in emergencies, but that DOD had decided not to use them because DOD could achieve its peak demand decreases without using these diesel fueled power plants.</w:t>
      </w:r>
    </w:p>
    <w:p>
      <w:pPr>
        <w:pStyle w:val="Normal"/>
        <w:autoSpaceDE w:val="false"/>
        <w:ind w:end="90"/>
        <w:jc w:val="both"/>
        <w:rPr/>
      </w:pPr>
      <w:r>
        <w:rPr/>
      </w:r>
    </w:p>
    <w:p>
      <w:pPr>
        <w:pStyle w:val="Normal"/>
        <w:autoSpaceDE w:val="false"/>
        <w:ind w:end="90"/>
        <w:jc w:val="both"/>
        <w:rPr/>
      </w:pPr>
      <w:r>
        <w:rPr/>
        <w:tab/>
        <w:t>Although DOD's investments in power generation are aimed at reducing military installation peak demand on the California commercial grid, it may be argued that, during an electricity emergency in California, military installations could be called upon by the President or the Secretary of Defense to use generating facilities available to the military to provide power to the California commercial grid, so long as military needs were not compromised.</w:t>
      </w:r>
    </w:p>
    <w:p>
      <w:pPr>
        <w:pStyle w:val="Normal"/>
        <w:autoSpaceDE w:val="false"/>
        <w:ind w:end="90"/>
        <w:jc w:val="both"/>
        <w:rPr/>
      </w:pPr>
      <w:r>
        <w:rPr/>
      </w:r>
    </w:p>
    <w:p>
      <w:pPr>
        <w:pStyle w:val="Normal"/>
        <w:ind w:firstLine="720" w:end="0"/>
        <w:jc w:val="both"/>
        <w:rPr/>
      </w:pPr>
      <w:r>
        <w:rPr/>
        <w:t>B.</w:t>
        <w:tab/>
      </w:r>
      <w:r>
        <w:rPr>
          <w:u w:val="single"/>
        </w:rPr>
        <w:t>Construction of Electricity Generating Facilities</w:t>
      </w:r>
    </w:p>
    <w:p>
      <w:pPr>
        <w:pStyle w:val="Normal"/>
        <w:jc w:val="both"/>
        <w:rPr>
          <w:u w:val="single"/>
        </w:rPr>
      </w:pPr>
      <w:r>
        <w:rPr>
          <w:u w:val="single"/>
        </w:rPr>
      </w:r>
    </w:p>
    <w:p>
      <w:pPr>
        <w:pStyle w:val="Normal"/>
        <w:jc w:val="both"/>
        <w:rPr/>
      </w:pPr>
      <w:r>
        <w:rPr/>
        <w:tab/>
        <w:t>The biggest impediment to a federal solution to the problem of inadequate electricity supply in California is that the federal government does not site generating facilities and does not have power of eminent domain.  This authority rests with state and local governments.  Nonetheless, a strong argument may be made that, in times of emergency, the federal government, specifically, the Secretary of Energy, has the authority to require the construction of generation facilities, and that state laws and regulations may not interfere with that authority.  Additionally, the Departments of the Interior, Agriculture and Defense may have the authority to make public lands and military installations available for purposes of constructing electricity generating facilities.</w:t>
      </w:r>
    </w:p>
    <w:p>
      <w:pPr>
        <w:pStyle w:val="Normal"/>
        <w:jc w:val="both"/>
        <w:rPr/>
      </w:pPr>
      <w:r>
        <w:rPr/>
      </w:r>
    </w:p>
    <w:p>
      <w:pPr>
        <w:pStyle w:val="Normal"/>
        <w:jc w:val="both"/>
        <w:rPr/>
      </w:pPr>
      <w:r>
        <w:rPr/>
        <w:tab/>
        <w:tab/>
      </w:r>
      <w:r>
        <w:rPr>
          <w:i/>
          <w:iCs/>
        </w:rPr>
        <w:t>1.</w:t>
        <w:tab/>
        <w:t>Department of Energy</w:t>
      </w:r>
    </w:p>
    <w:p>
      <w:pPr>
        <w:pStyle w:val="Normal"/>
        <w:jc w:val="both"/>
        <w:rPr>
          <w:i/>
          <w:i/>
          <w:iCs/>
        </w:rPr>
      </w:pPr>
      <w:r>
        <w:rPr>
          <w:i/>
          <w:iCs/>
        </w:rPr>
      </w:r>
    </w:p>
    <w:p>
      <w:pPr>
        <w:pStyle w:val="Normal"/>
        <w:ind w:firstLine="720" w:end="0"/>
        <w:jc w:val="both"/>
        <w:rPr/>
      </w:pPr>
      <w:r>
        <w:rPr/>
        <w:t>A strong argument may be made that, under Section 202(c) of the FPA, the Secretary of Energy may order the construction of electricity generating facilities.</w:t>
      </w:r>
      <w:r>
        <w:rPr>
          <w:rStyle w:val="FootnoteCharacters"/>
          <w:rStyle w:val="FootnoteReference"/>
          <w:vertAlign w:val="superscript"/>
        </w:rPr>
        <w:footnoteReference w:id="14"/>
      </w:r>
      <w:r>
        <w:rPr/>
        <w:t xml:space="preserve">  While Section 202(c) does not specify "construction," the DOE's regulations under Section 202(c) define "emergency" as including "extended periods of insufficient power supply as a result of . . . the failure to construct necessary facilities."</w:t>
      </w:r>
      <w:r>
        <w:rPr>
          <w:rStyle w:val="FootnoteCharacters"/>
          <w:rStyle w:val="FootnoteReference"/>
          <w:vertAlign w:val="superscript"/>
        </w:rPr>
        <w:footnoteReference w:id="15"/>
      </w:r>
      <w:r>
        <w:rPr/>
        <w:t xml:space="preserve">  If additional generating facilities are required in order to "prevent a breakdown in electric supply," it may be argued that Section 202(c) must provide the federal government with the authority to require the construction of such facilities.  Specifically, it may be argued that (1) the Secretary of Energy's authority under Section 202(c) is not circumscribed by the division between federal and state regulatory jurisdiction set out in other sections of the FPA, and (2) because, in enacting Section 202(c), Congress intended to designate "</w:t>
      </w:r>
      <w:r>
        <w:rPr>
          <w:u w:val="single"/>
        </w:rPr>
        <w:t>a</w:t>
      </w:r>
      <w:r>
        <w:rPr/>
        <w:t xml:space="preserve"> Federal agency ready to do </w:t>
      </w:r>
      <w:r>
        <w:rPr>
          <w:u w:val="single"/>
        </w:rPr>
        <w:t>all</w:t>
      </w:r>
      <w:r>
        <w:rPr/>
        <w:t xml:space="preserve"> that can be done in order to prevent a breakdown in electric supply" (emphasis added), state laws and regulations pertaining to authorization and siting of generation facilities are, in times of emergency, preempted by Section 202(c) of the FPA.</w:t>
      </w:r>
      <w:r>
        <w:br w:type="page"/>
      </w:r>
    </w:p>
    <w:p>
      <w:pPr>
        <w:pStyle w:val="Normal"/>
        <w:jc w:val="both"/>
        <w:rPr/>
      </w:pPr>
      <w:r>
        <w:rPr/>
        <w:tab/>
        <w:tab/>
        <w:t>a.</w:t>
        <w:tab/>
        <w:t>Authority under Section 202(c) of the FPA is not</w:t>
      </w:r>
    </w:p>
    <w:p>
      <w:pPr>
        <w:pStyle w:val="Normal"/>
        <w:ind w:firstLine="720" w:start="1440" w:end="0"/>
        <w:jc w:val="both"/>
        <w:rPr>
          <w:u w:val="single"/>
        </w:rPr>
      </w:pPr>
      <w:r>
        <w:rPr>
          <w:u w:val="single"/>
        </w:rPr>
        <w:t>circumscribed by FPA federal/state jurisdictional division.</w:t>
      </w:r>
    </w:p>
    <w:p>
      <w:pPr>
        <w:pStyle w:val="Normal"/>
        <w:jc w:val="both"/>
        <w:rPr>
          <w:u w:val="single"/>
        </w:rPr>
      </w:pPr>
      <w:r>
        <w:rPr>
          <w:u w:val="single"/>
        </w:rPr>
      </w:r>
    </w:p>
    <w:p>
      <w:pPr>
        <w:pStyle w:val="Normal"/>
        <w:ind w:firstLine="720" w:end="0"/>
        <w:jc w:val="both"/>
        <w:rPr/>
      </w:pPr>
      <w:r>
        <w:rPr/>
        <w:t xml:space="preserve">First, it may be argued that the Secretary's emergency authority under Section 202(c) of the FPA is not circumscribed by the federal and state jurisdictional parameters established in other parts of the FPA.  In 1974, the FPC described Section 202(c) as “a grant of Federal authority -- </w:t>
      </w:r>
      <w:r>
        <w:rPr>
          <w:u w:val="single"/>
        </w:rPr>
        <w:t>preemptive</w:t>
      </w:r>
      <w:r>
        <w:rPr/>
        <w:t xml:space="preserve"> </w:t>
      </w:r>
      <w:r>
        <w:rPr>
          <w:u w:val="single"/>
        </w:rPr>
        <w:t>of</w:t>
      </w:r>
      <w:r>
        <w:rPr/>
        <w:t xml:space="preserve"> </w:t>
      </w:r>
      <w:r>
        <w:rPr>
          <w:u w:val="single"/>
        </w:rPr>
        <w:t>established</w:t>
      </w:r>
      <w:r>
        <w:rPr/>
        <w:t xml:space="preserve"> </w:t>
      </w:r>
      <w:r>
        <w:rPr>
          <w:u w:val="single"/>
        </w:rPr>
        <w:t>divisions</w:t>
      </w:r>
      <w:r>
        <w:rPr/>
        <w:t xml:space="preserve"> </w:t>
      </w:r>
      <w:r>
        <w:rPr>
          <w:u w:val="single"/>
        </w:rPr>
        <w:t>of</w:t>
      </w:r>
      <w:r>
        <w:rPr/>
        <w:t xml:space="preserve"> </w:t>
      </w:r>
      <w:r>
        <w:rPr>
          <w:u w:val="single"/>
        </w:rPr>
        <w:t>Federal</w:t>
      </w:r>
      <w:r>
        <w:rPr/>
        <w:t xml:space="preserve"> </w:t>
      </w:r>
      <w:r>
        <w:rPr>
          <w:u w:val="single"/>
        </w:rPr>
        <w:t>and</w:t>
      </w:r>
      <w:r>
        <w:rPr/>
        <w:t xml:space="preserve"> </w:t>
      </w:r>
      <w:r>
        <w:rPr>
          <w:u w:val="single"/>
        </w:rPr>
        <w:t>state</w:t>
      </w:r>
      <w:r>
        <w:rPr/>
        <w:t xml:space="preserve"> </w:t>
      </w:r>
      <w:r>
        <w:rPr>
          <w:u w:val="single"/>
        </w:rPr>
        <w:t>regulatory</w:t>
      </w:r>
      <w:r>
        <w:rPr/>
        <w:t xml:space="preserve"> </w:t>
      </w:r>
      <w:r>
        <w:rPr>
          <w:u w:val="single"/>
        </w:rPr>
        <w:t>authority</w:t>
      </w:r>
      <w:r>
        <w:rPr/>
        <w:t>, set forth in other sections of the Federal Power Act -- to meet emergency conditions.”</w:t>
      </w:r>
      <w:r>
        <w:rPr>
          <w:rStyle w:val="FootnoteCharacters"/>
          <w:rStyle w:val="FootnoteReference"/>
          <w:vertAlign w:val="superscript"/>
        </w:rPr>
        <w:footnoteReference w:id="16"/>
      </w:r>
      <w:r>
        <w:rPr/>
        <w:t xml:space="preserve">  The FPC further stated that:</w:t>
      </w:r>
    </w:p>
    <w:p>
      <w:pPr>
        <w:pStyle w:val="Normal"/>
        <w:jc w:val="both"/>
        <w:rPr/>
      </w:pPr>
      <w:r>
        <w:rPr/>
      </w:r>
    </w:p>
    <w:p>
      <w:pPr>
        <w:pStyle w:val="Normal"/>
        <w:ind w:start="1440" w:end="1440"/>
        <w:jc w:val="both"/>
        <w:rPr/>
      </w:pPr>
      <w:r>
        <w:rPr/>
        <w:t xml:space="preserve">In our opinion, it is a sufficient answer to these jurisdictional questions to note that the Commission's authority under 202(c) is specific and Nation-wide.  It is </w:t>
      </w:r>
      <w:r>
        <w:rPr>
          <w:u w:val="single"/>
        </w:rPr>
        <w:t>not</w:t>
      </w:r>
      <w:r>
        <w:rPr/>
        <w:t xml:space="preserve"> </w:t>
      </w:r>
      <w:r>
        <w:rPr>
          <w:u w:val="single"/>
        </w:rPr>
        <w:t>related</w:t>
      </w:r>
      <w:r>
        <w:rPr/>
        <w:t xml:space="preserve"> </w:t>
      </w:r>
      <w:r>
        <w:rPr>
          <w:u w:val="single"/>
        </w:rPr>
        <w:t>to</w:t>
      </w:r>
      <w:r>
        <w:rPr/>
        <w:t xml:space="preserve"> </w:t>
      </w:r>
      <w:r>
        <w:rPr>
          <w:u w:val="single"/>
        </w:rPr>
        <w:t>the</w:t>
      </w:r>
      <w:r>
        <w:rPr/>
        <w:t xml:space="preserve"> </w:t>
      </w:r>
      <w:r>
        <w:rPr>
          <w:u w:val="single"/>
        </w:rPr>
        <w:t>jurisdiction</w:t>
      </w:r>
      <w:r>
        <w:rPr/>
        <w:t xml:space="preserve"> </w:t>
      </w:r>
      <w:r>
        <w:rPr>
          <w:u w:val="single"/>
        </w:rPr>
        <w:t>of</w:t>
      </w:r>
      <w:r>
        <w:rPr/>
        <w:t xml:space="preserve"> </w:t>
      </w:r>
      <w:r>
        <w:rPr>
          <w:u w:val="single"/>
        </w:rPr>
        <w:t>the</w:t>
      </w:r>
      <w:r>
        <w:rPr/>
        <w:t xml:space="preserve"> </w:t>
      </w:r>
      <w:r>
        <w:rPr>
          <w:u w:val="single"/>
        </w:rPr>
        <w:t>Commission</w:t>
      </w:r>
      <w:r>
        <w:rPr/>
        <w:t xml:space="preserve"> </w:t>
      </w:r>
      <w:r>
        <w:rPr>
          <w:u w:val="single"/>
        </w:rPr>
        <w:t>over</w:t>
      </w:r>
      <w:r>
        <w:rPr/>
        <w:t xml:space="preserve"> </w:t>
      </w:r>
      <w:r>
        <w:rPr>
          <w:u w:val="single"/>
        </w:rPr>
        <w:t>public</w:t>
      </w:r>
      <w:r>
        <w:rPr/>
        <w:t xml:space="preserve"> </w:t>
      </w:r>
      <w:r>
        <w:rPr>
          <w:u w:val="single"/>
        </w:rPr>
        <w:t>utilities</w:t>
      </w:r>
      <w:r>
        <w:rPr/>
        <w:t xml:space="preserve"> and licensees, as the latter are defined in the Federal Power Act [citations omitted].  Moreover, the legislative history of the Federal Power Act is clear that Section 202(c) is intended to provide </w:t>
      </w:r>
      <w:r>
        <w:rPr>
          <w:i/>
          <w:iCs/>
        </w:rPr>
        <w:t>one</w:t>
      </w:r>
      <w:r>
        <w:rPr/>
        <w:t xml:space="preserve"> central, national authority to which any electric utility system could turn in times of "emergency."</w:t>
      </w:r>
      <w:r>
        <w:rPr>
          <w:rStyle w:val="FootnoteCharacters"/>
          <w:rStyle w:val="FootnoteReference"/>
          <w:vertAlign w:val="superscript"/>
        </w:rPr>
        <w:footnoteReference w:id="17"/>
      </w:r>
    </w:p>
    <w:p>
      <w:pPr>
        <w:pStyle w:val="Normal"/>
        <w:ind w:end="1440"/>
        <w:jc w:val="both"/>
        <w:rPr/>
      </w:pPr>
      <w:r>
        <w:rPr/>
      </w:r>
    </w:p>
    <w:p>
      <w:pPr>
        <w:pStyle w:val="Normal"/>
        <w:jc w:val="both"/>
        <w:rPr/>
      </w:pPr>
      <w:r>
        <w:rPr/>
        <w:t>Indeed, it may be argued that the very language of Section 202(c) of the FPA reflects Congress' intention that the federal emergency authority be separate from the jurisdiction granted to the federal government with respect to economic regulation.  In Order No. 520-A, the FPC observed that:</w:t>
      </w:r>
    </w:p>
    <w:p>
      <w:pPr>
        <w:pStyle w:val="Normal"/>
        <w:jc w:val="both"/>
        <w:rPr/>
      </w:pPr>
      <w:r>
        <w:rPr/>
      </w:r>
    </w:p>
    <w:p>
      <w:pPr>
        <w:pStyle w:val="Normal"/>
        <w:ind w:start="1440" w:end="1440"/>
        <w:jc w:val="both"/>
        <w:rPr/>
      </w:pPr>
      <w:r>
        <w:rPr/>
        <w:t xml:space="preserve">Indeed it is significant that the emergency power of Section 202(c) is in terms authorizing the Commission to "require by order . . . such </w:t>
      </w:r>
      <w:r>
        <w:rPr>
          <w:i/>
          <w:iCs/>
        </w:rPr>
        <w:t>generation</w:t>
      </w:r>
      <w:r>
        <w:rPr/>
        <w:t xml:space="preserve">, delivery, interchange, or </w:t>
      </w:r>
      <w:r>
        <w:rPr>
          <w:i/>
          <w:iCs/>
        </w:rPr>
        <w:t>transmission</w:t>
      </w:r>
      <w:r>
        <w:rPr/>
        <w:t xml:space="preserve"> of electric energy as in its </w:t>
      </w:r>
      <w:r>
        <w:rPr>
          <w:i/>
          <w:iCs/>
        </w:rPr>
        <w:t>judgment will best meet the emergency</w:t>
      </w:r>
      <w:r>
        <w:rPr/>
        <w:t xml:space="preserve"> and serve the public interest," whereas Section 202(b) authorizes orders directed to "public utilities."  Moreover, brief reference to other sections of Part II of the Act shows the </w:t>
      </w:r>
      <w:r>
        <w:rPr>
          <w:u w:val="single"/>
        </w:rPr>
        <w:t>distinction</w:t>
      </w:r>
      <w:r>
        <w:rPr/>
        <w:t xml:space="preserve"> </w:t>
      </w:r>
      <w:r>
        <w:rPr>
          <w:u w:val="single"/>
        </w:rPr>
        <w:t>intended</w:t>
      </w:r>
      <w:r>
        <w:rPr/>
        <w:t xml:space="preserve"> </w:t>
      </w:r>
      <w:r>
        <w:rPr>
          <w:u w:val="single"/>
        </w:rPr>
        <w:t>in</w:t>
      </w:r>
      <w:r>
        <w:rPr/>
        <w:t xml:space="preserve"> </w:t>
      </w:r>
      <w:r>
        <w:rPr>
          <w:u w:val="single"/>
        </w:rPr>
        <w:t>the</w:t>
      </w:r>
      <w:r>
        <w:rPr/>
        <w:t xml:space="preserve"> </w:t>
      </w:r>
      <w:r>
        <w:rPr>
          <w:u w:val="single"/>
        </w:rPr>
        <w:t>case</w:t>
      </w:r>
      <w:r>
        <w:rPr/>
        <w:t xml:space="preserve"> </w:t>
      </w:r>
      <w:r>
        <w:rPr>
          <w:u w:val="single"/>
        </w:rPr>
        <w:t>of</w:t>
      </w:r>
      <w:r>
        <w:rPr/>
        <w:t xml:space="preserve"> </w:t>
      </w:r>
      <w:r>
        <w:rPr>
          <w:u w:val="single"/>
        </w:rPr>
        <w:t>emergency</w:t>
      </w:r>
      <w:r>
        <w:rPr/>
        <w:t xml:space="preserve"> </w:t>
      </w:r>
      <w:r>
        <w:rPr>
          <w:u w:val="single"/>
        </w:rPr>
        <w:t>orders</w:t>
      </w:r>
      <w:r>
        <w:rPr/>
        <w:t xml:space="preserve"> </w:t>
      </w:r>
      <w:r>
        <w:rPr>
          <w:u w:val="single"/>
        </w:rPr>
        <w:t>directing</w:t>
      </w:r>
      <w:r>
        <w:rPr/>
        <w:t xml:space="preserve"> </w:t>
      </w:r>
      <w:r>
        <w:rPr>
          <w:u w:val="single"/>
        </w:rPr>
        <w:t>operations</w:t>
      </w:r>
      <w:r>
        <w:rPr/>
        <w:t xml:space="preserve">, </w:t>
      </w:r>
      <w:r>
        <w:rPr>
          <w:u w:val="single"/>
        </w:rPr>
        <w:t>as</w:t>
      </w:r>
      <w:r>
        <w:rPr/>
        <w:t xml:space="preserve"> </w:t>
      </w:r>
      <w:r>
        <w:rPr>
          <w:u w:val="single"/>
        </w:rPr>
        <w:t>contrasted</w:t>
      </w:r>
      <w:r>
        <w:rPr/>
        <w:t xml:space="preserve"> </w:t>
      </w:r>
      <w:r>
        <w:rPr>
          <w:u w:val="single"/>
        </w:rPr>
        <w:t>with</w:t>
      </w:r>
      <w:r>
        <w:rPr/>
        <w:t xml:space="preserve"> </w:t>
      </w:r>
      <w:r>
        <w:rPr>
          <w:u w:val="single"/>
        </w:rPr>
        <w:t>normal</w:t>
      </w:r>
      <w:r>
        <w:rPr/>
        <w:t xml:space="preserve"> </w:t>
      </w:r>
      <w:r>
        <w:rPr>
          <w:u w:val="single"/>
        </w:rPr>
        <w:t>orders</w:t>
      </w:r>
      <w:r>
        <w:rPr/>
        <w:t xml:space="preserve"> </w:t>
      </w:r>
      <w:r>
        <w:rPr>
          <w:u w:val="single"/>
        </w:rPr>
        <w:t>directing</w:t>
      </w:r>
      <w:r>
        <w:rPr/>
        <w:t xml:space="preserve"> </w:t>
      </w:r>
      <w:r>
        <w:rPr>
          <w:u w:val="single"/>
        </w:rPr>
        <w:t>"public</w:t>
      </w:r>
      <w:r>
        <w:rPr/>
        <w:t xml:space="preserve"> </w:t>
      </w:r>
      <w:r>
        <w:rPr>
          <w:u w:val="single"/>
        </w:rPr>
        <w:t>utilities"</w:t>
      </w:r>
      <w:r>
        <w:rPr/>
        <w:t xml:space="preserve"> </w:t>
      </w:r>
      <w:r>
        <w:rPr>
          <w:u w:val="single"/>
        </w:rPr>
        <w:t>operations</w:t>
      </w:r>
      <w:r>
        <w:rPr/>
        <w:t xml:space="preserve">.  Section 201(b) excludes jurisdiction over generation and intrastate transmission.  The specific reference to these operations in Section 202(c) shows the </w:t>
      </w:r>
      <w:r>
        <w:rPr>
          <w:u w:val="single"/>
        </w:rPr>
        <w:t>inapplicability</w:t>
      </w:r>
      <w:r>
        <w:rPr/>
        <w:t xml:space="preserve"> </w:t>
      </w:r>
      <w:r>
        <w:rPr>
          <w:u w:val="single"/>
        </w:rPr>
        <w:t>of</w:t>
      </w:r>
      <w:r>
        <w:rPr/>
        <w:t xml:space="preserve"> </w:t>
      </w:r>
      <w:r>
        <w:rPr>
          <w:u w:val="single"/>
        </w:rPr>
        <w:t>the</w:t>
      </w:r>
      <w:r>
        <w:rPr/>
        <w:t xml:space="preserve"> </w:t>
      </w:r>
      <w:r>
        <w:rPr>
          <w:u w:val="single"/>
        </w:rPr>
        <w:t>exclusionary</w:t>
      </w:r>
      <w:r>
        <w:rPr/>
        <w:t xml:space="preserve"> </w:t>
      </w:r>
      <w:r>
        <w:rPr>
          <w:u w:val="single"/>
        </w:rPr>
        <w:t>clauses</w:t>
      </w:r>
      <w:r>
        <w:rPr/>
        <w:t xml:space="preserve"> </w:t>
      </w:r>
      <w:r>
        <w:rPr>
          <w:u w:val="single"/>
        </w:rPr>
        <w:t>of</w:t>
      </w:r>
      <w:r>
        <w:rPr/>
        <w:t xml:space="preserve"> </w:t>
      </w:r>
      <w:r>
        <w:rPr>
          <w:u w:val="single"/>
        </w:rPr>
        <w:t>Section</w:t>
      </w:r>
      <w:r>
        <w:rPr/>
        <w:t xml:space="preserve"> </w:t>
      </w:r>
      <w:r>
        <w:rPr>
          <w:u w:val="single"/>
        </w:rPr>
        <w:t>201</w:t>
      </w:r>
      <w:r>
        <w:rPr/>
        <w:t>, not only as to generation and transmission facilities, but also as to the limitations of the term "public utility" in Section 201(e) and the exclusion of governmental agencies under Section 201(f).</w:t>
      </w:r>
      <w:r>
        <w:rPr>
          <w:rStyle w:val="FootnoteCharacters"/>
          <w:rStyle w:val="FootnoteReference"/>
          <w:vertAlign w:val="superscript"/>
        </w:rPr>
        <w:footnoteReference w:id="18"/>
      </w:r>
    </w:p>
    <w:p>
      <w:pPr>
        <w:pStyle w:val="Normal"/>
        <w:ind w:end="720"/>
        <w:jc w:val="both"/>
        <w:rPr/>
      </w:pPr>
      <w:r>
        <w:rPr/>
      </w:r>
    </w:p>
    <w:p>
      <w:pPr>
        <w:pStyle w:val="Normal"/>
        <w:ind w:firstLine="720" w:end="0"/>
        <w:jc w:val="both"/>
        <w:rPr/>
      </w:pPr>
      <w:r>
        <w:rPr/>
        <w:t>Thus, on the basis of the language of Section 202(c), as well has the interpretation of that section by the FPC, it may be argued that, during times of emergency, the Secretary of Energy also would have authority over generation and intrastate transmission (distribution) of electricity, as well as non-public utilities and governmental agencies, notwithstanding the fact that Section 201 of the FPA excludes these activities and entities from federal jurisdiction.</w:t>
      </w:r>
    </w:p>
    <w:p>
      <w:pPr>
        <w:pStyle w:val="Normal"/>
        <w:jc w:val="both"/>
        <w:rPr/>
      </w:pPr>
      <w:r>
        <w:rPr/>
      </w:r>
    </w:p>
    <w:p>
      <w:pPr>
        <w:pStyle w:val="Normal"/>
        <w:ind w:firstLine="720" w:start="720" w:end="0"/>
        <w:jc w:val="both"/>
        <w:rPr>
          <w:u w:val="single"/>
        </w:rPr>
      </w:pPr>
      <w:r>
        <w:rPr/>
        <w:t>b.</w:t>
        <w:tab/>
        <w:t>Authority under Section 202(c) of the</w:t>
      </w:r>
    </w:p>
    <w:p>
      <w:pPr>
        <w:pStyle w:val="Normal"/>
        <w:ind w:firstLine="720" w:start="1440" w:end="0"/>
        <w:jc w:val="both"/>
        <w:rPr/>
      </w:pPr>
      <w:r>
        <w:rPr>
          <w:u w:val="single"/>
        </w:rPr>
        <w:t>FPA is not circumscribed by state law</w:t>
      </w:r>
      <w:r>
        <w:rPr/>
        <w:t>.</w:t>
      </w:r>
    </w:p>
    <w:p>
      <w:pPr>
        <w:pStyle w:val="Normal"/>
        <w:jc w:val="both"/>
        <w:rPr/>
      </w:pPr>
      <w:r>
        <w:rPr/>
      </w:r>
    </w:p>
    <w:p>
      <w:pPr>
        <w:pStyle w:val="Normal"/>
        <w:jc w:val="both"/>
        <w:rPr/>
      </w:pPr>
      <w:r>
        <w:rPr/>
        <w:tab/>
        <w:t xml:space="preserve">Similarly, it may be argued that the Secretary of Energy's authority under Section 202(c) is not circumscribed by state laws or regulations pertaining to the generation of electricity.  In interpreting Section 202(c), the FPC did not consider its authority under Section 202(c) as limited by virtue of state statutes or regulations, </w:t>
      </w:r>
      <w:r>
        <w:rPr>
          <w:u w:val="single"/>
        </w:rPr>
        <w:t>to</w:t>
      </w:r>
      <w:r>
        <w:rPr/>
        <w:t xml:space="preserve"> </w:t>
      </w:r>
      <w:r>
        <w:rPr>
          <w:u w:val="single"/>
        </w:rPr>
        <w:t>wit</w:t>
      </w:r>
      <w:r>
        <w:rPr/>
        <w:t>:</w:t>
      </w:r>
    </w:p>
    <w:p>
      <w:pPr>
        <w:pStyle w:val="Normal"/>
        <w:jc w:val="both"/>
        <w:rPr/>
      </w:pPr>
      <w:r>
        <w:rPr/>
      </w:r>
    </w:p>
    <w:p>
      <w:pPr>
        <w:pStyle w:val="Normal"/>
        <w:ind w:start="1440" w:end="1440"/>
        <w:jc w:val="both"/>
        <w:rPr/>
      </w:pPr>
      <w:r>
        <w:rPr/>
        <w:t xml:space="preserve">Nor do we agree with some of the comments that our authority under Section 202(c) is jurisdictionally restricted by state statutes or the application of state agency regulations, which require utilities therein to acquire and maintain adequate fuel inventories.  While </w:t>
      </w:r>
      <w:r>
        <w:rPr>
          <w:u w:val="single"/>
        </w:rPr>
        <w:t>we</w:t>
      </w:r>
      <w:r>
        <w:rPr/>
        <w:t xml:space="preserve"> </w:t>
      </w:r>
      <w:r>
        <w:rPr>
          <w:u w:val="single"/>
        </w:rPr>
        <w:t>do</w:t>
      </w:r>
      <w:r>
        <w:rPr/>
        <w:t xml:space="preserve"> </w:t>
      </w:r>
      <w:r>
        <w:rPr>
          <w:u w:val="single"/>
        </w:rPr>
        <w:t>not</w:t>
      </w:r>
      <w:r>
        <w:rPr/>
        <w:t xml:space="preserve"> </w:t>
      </w:r>
      <w:r>
        <w:rPr>
          <w:u w:val="single"/>
        </w:rPr>
        <w:t>accept such</w:t>
      </w:r>
      <w:r>
        <w:rPr/>
        <w:t xml:space="preserve"> </w:t>
      </w:r>
      <w:r>
        <w:rPr>
          <w:u w:val="single"/>
        </w:rPr>
        <w:t>state</w:t>
      </w:r>
      <w:r>
        <w:rPr/>
        <w:t xml:space="preserve"> </w:t>
      </w:r>
      <w:r>
        <w:rPr>
          <w:u w:val="single"/>
        </w:rPr>
        <w:t>requirements</w:t>
      </w:r>
      <w:r>
        <w:rPr/>
        <w:t xml:space="preserve"> </w:t>
      </w:r>
      <w:r>
        <w:rPr>
          <w:u w:val="single"/>
        </w:rPr>
        <w:t>as</w:t>
      </w:r>
      <w:r>
        <w:rPr/>
        <w:t xml:space="preserve"> </w:t>
      </w:r>
      <w:r>
        <w:rPr>
          <w:u w:val="single"/>
        </w:rPr>
        <w:t>limiting</w:t>
      </w:r>
      <w:r>
        <w:rPr/>
        <w:t xml:space="preserve"> </w:t>
      </w:r>
      <w:r>
        <w:rPr>
          <w:u w:val="single"/>
        </w:rPr>
        <w:t>our</w:t>
      </w:r>
      <w:r>
        <w:rPr/>
        <w:t xml:space="preserve"> </w:t>
      </w:r>
      <w:r>
        <w:rPr>
          <w:u w:val="single"/>
        </w:rPr>
        <w:t>basic</w:t>
      </w:r>
      <w:r>
        <w:rPr/>
        <w:t xml:space="preserve"> </w:t>
      </w:r>
      <w:r>
        <w:rPr>
          <w:u w:val="single"/>
        </w:rPr>
        <w:t>jurisdiction pursuant</w:t>
      </w:r>
      <w:r>
        <w:rPr/>
        <w:t xml:space="preserve"> </w:t>
      </w:r>
      <w:r>
        <w:rPr>
          <w:u w:val="single"/>
        </w:rPr>
        <w:t>to</w:t>
      </w:r>
      <w:r>
        <w:rPr/>
        <w:t xml:space="preserve"> </w:t>
      </w:r>
      <w:r>
        <w:rPr>
          <w:u w:val="single"/>
        </w:rPr>
        <w:t>Section</w:t>
      </w:r>
      <w:r>
        <w:rPr/>
        <w:t xml:space="preserve"> </w:t>
      </w:r>
      <w:r>
        <w:rPr>
          <w:u w:val="single"/>
        </w:rPr>
        <w:t>202(c)</w:t>
      </w:r>
      <w:r>
        <w:rPr/>
        <w:t>, we do consider such state responsibilities and requirements to be important factors for consideration by us in determining whether an "emergency" exists and which might warrant an order of the Commission requiring such utilities to share their inventories and capacities in a manner not otherwise authorized under state standards.</w:t>
      </w:r>
      <w:r>
        <w:rPr>
          <w:rStyle w:val="FootnoteCharacters"/>
          <w:rStyle w:val="FootnoteReference"/>
          <w:vertAlign w:val="superscript"/>
        </w:rPr>
        <w:footnoteReference w:id="19"/>
      </w:r>
    </w:p>
    <w:p>
      <w:pPr>
        <w:pStyle w:val="Normal"/>
        <w:ind w:end="1440"/>
        <w:jc w:val="both"/>
        <w:rPr/>
      </w:pPr>
      <w:r>
        <w:rPr/>
      </w:r>
    </w:p>
    <w:p>
      <w:pPr>
        <w:pStyle w:val="Normal"/>
        <w:autoSpaceDE w:val="false"/>
        <w:ind w:firstLine="605" w:start="115" w:end="86"/>
        <w:jc w:val="both"/>
        <w:rPr/>
      </w:pPr>
      <w:r>
        <w:rPr>
          <w:color w:val="000000"/>
          <w:szCs w:val="17"/>
        </w:rPr>
        <w:t xml:space="preserve">Given that the legislative history of Section 202(c) of the FPA indicates that Congress wished to confer on the </w:t>
      </w:r>
      <w:r>
        <w:rPr>
          <w:color w:val="000000"/>
          <w:szCs w:val="17"/>
          <w:u w:val="single"/>
        </w:rPr>
        <w:t>federal</w:t>
      </w:r>
      <w:r>
        <w:rPr>
          <w:color w:val="000000"/>
          <w:szCs w:val="17"/>
        </w:rPr>
        <w:t xml:space="preserve"> government authority to act in emergency situations, it also may be argued that, in times of emergency, state laws and regulations pertaining to the generation of electricity are preempted by Section 202(c) of the FPA.  </w:t>
      </w:r>
      <w:r>
        <w:rPr>
          <w:rFonts w:cs="Courier New"/>
          <w:szCs w:val="17"/>
        </w:rPr>
        <w:t>Congress has the power under the Supremacy Clause of Article VI of the Constitution to preempt state law, and congressional intent to preempt will be inferred where, among other things, a "state law stands as an obstacle to the accomplishment of the full purposes and objectives of Congress."</w:t>
      </w:r>
      <w:r>
        <w:rPr>
          <w:rStyle w:val="FootnoteCharacters"/>
          <w:rStyle w:val="FootnoteReference"/>
          <w:rFonts w:cs="Courier New"/>
          <w:szCs w:val="17"/>
          <w:vertAlign w:val="superscript"/>
        </w:rPr>
        <w:footnoteReference w:id="20"/>
      </w:r>
      <w:r>
        <w:rPr>
          <w:rFonts w:cs="Courier New"/>
          <w:szCs w:val="17"/>
        </w:rPr>
        <w:t xml:space="preserve">  Furthermore, federal preemption may result from federal agency action taken within the scope of its congressionally delegated authority.</w:t>
      </w:r>
      <w:r>
        <w:rPr>
          <w:rStyle w:val="FootnoteCharacters"/>
          <w:rStyle w:val="FootnoteReference"/>
          <w:rFonts w:cs="Courier New"/>
          <w:szCs w:val="17"/>
          <w:vertAlign w:val="superscript"/>
        </w:rPr>
        <w:footnoteReference w:id="21"/>
      </w:r>
      <w:r>
        <w:rPr>
          <w:color w:val="000000"/>
          <w:szCs w:val="17"/>
        </w:rPr>
        <w:t xml:space="preserve">  In the event of an emergency, state and local laws respecting siting of electric generation facilities may be considered as "obstacles" to the accomplishment of the full purposes and objectives of Congress in passing Section 202(c) of the FPA.</w:t>
      </w:r>
    </w:p>
    <w:p>
      <w:pPr>
        <w:pStyle w:val="Normal"/>
        <w:autoSpaceDE w:val="false"/>
        <w:ind w:end="86"/>
        <w:jc w:val="both"/>
        <w:rPr>
          <w:color w:val="000000"/>
          <w:szCs w:val="17"/>
        </w:rPr>
      </w:pPr>
      <w:r>
        <w:rPr>
          <w:color w:val="000000"/>
          <w:szCs w:val="17"/>
        </w:rPr>
      </w:r>
    </w:p>
    <w:p>
      <w:pPr>
        <w:pStyle w:val="Normal"/>
        <w:autoSpaceDE w:val="false"/>
        <w:jc w:val="both"/>
        <w:rPr/>
      </w:pPr>
      <w:r>
        <w:rPr/>
        <w:tab/>
        <w:tab/>
      </w:r>
      <w:r>
        <w:rPr>
          <w:i/>
          <w:iCs/>
        </w:rPr>
        <w:t>2.</w:t>
        <w:tab/>
        <w:t>Departments of the Interior and Agriculture</w:t>
      </w:r>
    </w:p>
    <w:p>
      <w:pPr>
        <w:pStyle w:val="Normal"/>
        <w:autoSpaceDE w:val="false"/>
        <w:jc w:val="both"/>
        <w:rPr>
          <w:i/>
          <w:i/>
          <w:iCs/>
        </w:rPr>
      </w:pPr>
      <w:r>
        <w:rPr>
          <w:i/>
          <w:iCs/>
        </w:rPr>
      </w:r>
    </w:p>
    <w:p>
      <w:pPr>
        <w:pStyle w:val="Normal"/>
        <w:autoSpaceDE w:val="false"/>
        <w:jc w:val="both"/>
        <w:rPr/>
      </w:pPr>
      <w:r>
        <w:rPr/>
        <w:tab/>
        <w:t>The federal government may permit federal/public lands to be used for the purpose of constructing electricity generating facilities.  The Federal Land Policy and Management Act provides that:</w:t>
      </w:r>
    </w:p>
    <w:p>
      <w:pPr>
        <w:pStyle w:val="Normal"/>
        <w:autoSpaceDE w:val="false"/>
        <w:jc w:val="both"/>
        <w:rPr/>
      </w:pPr>
      <w:r>
        <w:rPr/>
      </w:r>
    </w:p>
    <w:p>
      <w:pPr>
        <w:pStyle w:val="Normal"/>
        <w:autoSpaceDE w:val="false"/>
        <w:ind w:start="1440" w:end="1440"/>
        <w:jc w:val="both"/>
        <w:rPr/>
      </w:pPr>
      <w:r>
        <w:rPr/>
        <w:t>[t]he Secretary [of the Interior] with respect to the public lands (including public lands, as defined in section 1702(e) of this title, which are reserved from entry pursuant to section 24 of the Federal Power Act [16 U.S.C.A. § 818]) and, the Secretary of Agriculture, with respect to lands within the National Forest System (except in each case land designated as wilderness), are authorized to grant, issue, or renew rights-of-way over, upon, under, or through such lands for --</w:t>
      </w:r>
    </w:p>
    <w:p>
      <w:pPr>
        <w:pStyle w:val="Normal"/>
        <w:autoSpaceDE w:val="false"/>
        <w:ind w:end="1440"/>
        <w:jc w:val="both"/>
        <w:rPr/>
      </w:pPr>
      <w:r>
        <w:rPr/>
      </w:r>
    </w:p>
    <w:p>
      <w:pPr>
        <w:pStyle w:val="Normal"/>
        <w:autoSpaceDE w:val="false"/>
        <w:ind w:start="1440" w:end="1440"/>
        <w:jc w:val="both"/>
        <w:rPr/>
      </w:pPr>
      <w:r>
        <w:rPr/>
        <w:t xml:space="preserve">(4) </w:t>
      </w:r>
      <w:r>
        <w:rPr>
          <w:u w:val="single"/>
        </w:rPr>
        <w:t>systems</w:t>
      </w:r>
      <w:r>
        <w:rPr/>
        <w:t xml:space="preserve"> </w:t>
      </w:r>
      <w:r>
        <w:rPr>
          <w:u w:val="single"/>
        </w:rPr>
        <w:t>for</w:t>
      </w:r>
      <w:r>
        <w:rPr/>
        <w:t xml:space="preserve"> </w:t>
      </w:r>
      <w:r>
        <w:rPr>
          <w:u w:val="single"/>
        </w:rPr>
        <w:t>generation</w:t>
      </w:r>
      <w:r>
        <w:rPr/>
        <w:t xml:space="preserve">, </w:t>
      </w:r>
      <w:r>
        <w:rPr>
          <w:u w:val="single"/>
        </w:rPr>
        <w:t>transmission</w:t>
      </w:r>
      <w:r>
        <w:rPr/>
        <w:t xml:space="preserve">, </w:t>
      </w:r>
      <w:r>
        <w:rPr>
          <w:u w:val="single"/>
        </w:rPr>
        <w:t>and</w:t>
      </w:r>
      <w:r>
        <w:rPr/>
        <w:t xml:space="preserve"> </w:t>
      </w:r>
      <w:r>
        <w:rPr>
          <w:u w:val="single"/>
        </w:rPr>
        <w:t>distribution</w:t>
      </w:r>
      <w:r>
        <w:rPr/>
        <w:t xml:space="preserve"> </w:t>
      </w:r>
      <w:r>
        <w:rPr>
          <w:u w:val="single"/>
        </w:rPr>
        <w:t>of</w:t>
      </w:r>
      <w:r>
        <w:rPr/>
        <w:t xml:space="preserve"> </w:t>
      </w:r>
      <w:r>
        <w:rPr>
          <w:u w:val="single"/>
        </w:rPr>
        <w:t>electric</w:t>
      </w:r>
      <w:r>
        <w:rPr/>
        <w:t xml:space="preserve"> </w:t>
      </w:r>
      <w:r>
        <w:rPr>
          <w:u w:val="single"/>
        </w:rPr>
        <w:t>energy</w:t>
      </w:r>
      <w:r>
        <w:rPr/>
        <w:t>, except that the applicant shall also comply with all applicable requirements of the Federal Energy Regulatory Commission under the Federal Power Act, including part 1 thereof."</w:t>
      </w:r>
      <w:r>
        <w:rPr>
          <w:rStyle w:val="FootnoteCharacters"/>
          <w:rStyle w:val="FootnoteReference"/>
          <w:vertAlign w:val="superscript"/>
        </w:rPr>
        <w:footnoteReference w:id="22"/>
      </w:r>
    </w:p>
    <w:p>
      <w:pPr>
        <w:pStyle w:val="Normal"/>
        <w:autoSpaceDE w:val="false"/>
        <w:ind w:end="1440"/>
        <w:jc w:val="both"/>
        <w:rPr/>
      </w:pPr>
      <w:r>
        <w:rPr/>
      </w:r>
    </w:p>
    <w:p>
      <w:pPr>
        <w:pStyle w:val="Normal"/>
        <w:autoSpaceDE w:val="false"/>
        <w:ind w:firstLine="720" w:end="1440"/>
        <w:jc w:val="both"/>
        <w:rPr/>
      </w:pPr>
      <w:r>
        <w:rPr/>
        <w:t>This authority is not limited to emergency situations.</w:t>
      </w:r>
    </w:p>
    <w:p>
      <w:pPr>
        <w:pStyle w:val="Normal"/>
        <w:autoSpaceDE w:val="false"/>
        <w:ind w:end="1440"/>
        <w:jc w:val="both"/>
        <w:rPr/>
      </w:pPr>
      <w:r>
        <w:rPr/>
      </w:r>
    </w:p>
    <w:p>
      <w:pPr>
        <w:pStyle w:val="Normal"/>
        <w:autoSpaceDE w:val="false"/>
        <w:ind w:firstLine="720" w:start="720" w:end="0"/>
        <w:jc w:val="both"/>
        <w:rPr>
          <w:i/>
          <w:i/>
          <w:iCs/>
        </w:rPr>
      </w:pPr>
      <w:r>
        <w:rPr>
          <w:i/>
          <w:iCs/>
        </w:rPr>
        <w:t>3.</w:t>
        <w:tab/>
        <w:t>Department of Defense</w:t>
      </w:r>
    </w:p>
    <w:p>
      <w:pPr>
        <w:pStyle w:val="Normal"/>
        <w:autoSpaceDE w:val="false"/>
        <w:jc w:val="both"/>
        <w:rPr>
          <w:i/>
          <w:i/>
          <w:iCs/>
        </w:rPr>
      </w:pPr>
      <w:r>
        <w:rPr>
          <w:i/>
          <w:iCs/>
        </w:rPr>
      </w:r>
    </w:p>
    <w:p>
      <w:pPr>
        <w:pStyle w:val="Normal"/>
        <w:autoSpaceDE w:val="false"/>
        <w:jc w:val="both"/>
        <w:rPr/>
      </w:pPr>
      <w:r>
        <w:rPr/>
        <w:tab/>
        <w:t>It appears that DOD currently is considering using military installations as sites for electricity generating facilities.  At the May 3, 2001, press conference announcing the DOD's plans to reduce energy use in California, DuBois indicated that Fort Irwin is considering a joint venture with a private sector company to produce electricity from wind generation at the installation.  In an emergency situation, DOD could co-venture with the private sector to construct electricity generating facilities at other military installations.</w:t>
      </w:r>
      <w:r>
        <w:br w:type="page"/>
      </w:r>
    </w:p>
    <w:p>
      <w:pPr>
        <w:pStyle w:val="Normal"/>
        <w:autoSpaceDE w:val="false"/>
        <w:jc w:val="both"/>
        <w:rPr/>
      </w:pPr>
      <w:r>
        <w:rPr/>
        <w:tab/>
        <w:tab/>
      </w:r>
      <w:r>
        <w:rPr>
          <w:i/>
          <w:iCs/>
        </w:rPr>
        <w:t>4.</w:t>
        <w:tab/>
        <w:t>Department of the Treasury</w:t>
      </w:r>
    </w:p>
    <w:p>
      <w:pPr>
        <w:pStyle w:val="Normal"/>
        <w:autoSpaceDE w:val="false"/>
        <w:jc w:val="both"/>
        <w:rPr>
          <w:i/>
          <w:i/>
          <w:iCs/>
        </w:rPr>
      </w:pPr>
      <w:r>
        <w:rPr>
          <w:i/>
          <w:iCs/>
        </w:rPr>
      </w:r>
    </w:p>
    <w:p>
      <w:pPr>
        <w:pStyle w:val="Normal"/>
        <w:autoSpaceDE w:val="false"/>
        <w:jc w:val="both"/>
        <w:rPr/>
      </w:pPr>
      <w:r>
        <w:rPr/>
        <w:tab/>
        <w:t>Treasury is the lender to the Bonneville Power Administration and to the Tennessee Valley Authority.  As such, Treasury may be in a position to finance the construction of generation and transmission facilities by these entities.</w:t>
      </w:r>
    </w:p>
    <w:p>
      <w:pPr>
        <w:pStyle w:val="Normal"/>
        <w:autoSpaceDE w:val="false"/>
        <w:jc w:val="both"/>
        <w:rPr/>
      </w:pPr>
      <w:r>
        <w:rPr/>
      </w:r>
    </w:p>
    <w:p>
      <w:pPr>
        <w:pStyle w:val="Normal"/>
        <w:autoSpaceDE w:val="false"/>
        <w:jc w:val="both"/>
        <w:rPr/>
      </w:pPr>
      <w:r>
        <w:rPr/>
        <w:tab/>
        <w:tab/>
      </w:r>
      <w:r>
        <w:rPr>
          <w:i/>
          <w:iCs/>
        </w:rPr>
        <w:t>5.</w:t>
        <w:tab/>
        <w:t>Council on Environmental Quality</w:t>
      </w:r>
    </w:p>
    <w:p>
      <w:pPr>
        <w:pStyle w:val="Normal"/>
        <w:autoSpaceDE w:val="false"/>
        <w:jc w:val="both"/>
        <w:rPr>
          <w:i/>
          <w:i/>
          <w:iCs/>
        </w:rPr>
      </w:pPr>
      <w:r>
        <w:rPr>
          <w:i/>
          <w:iCs/>
        </w:rPr>
      </w:r>
    </w:p>
    <w:p>
      <w:pPr>
        <w:pStyle w:val="Normal"/>
        <w:autoSpaceDE w:val="false"/>
        <w:jc w:val="both"/>
        <w:rPr/>
      </w:pPr>
      <w:r>
        <w:rPr/>
        <w:tab/>
        <w:t>A significant obstacle to federal action in requiring the construction of generating facilities during an emergency is the National Environmental Policy Act ("NEPA"), which requires that all federal agencies consider the environmental consequences of their actions prior to taking action, including the preparation of Environmental Impact Statements ("EIS").  This requirement could delay the construction of electricity facilities during an emergency.  Section 1506.11 of the Council on Environmental Quality ("CEQ") regulations establishes an exemption for emergency situations if CEQ determines that an emergency exists.</w:t>
      </w:r>
      <w:r>
        <w:rPr>
          <w:rStyle w:val="FootnoteCharacters"/>
          <w:rStyle w:val="FootnoteReference"/>
          <w:vertAlign w:val="superscript"/>
        </w:rPr>
        <w:footnoteReference w:id="23"/>
      </w:r>
    </w:p>
    <w:p>
      <w:pPr>
        <w:pStyle w:val="Normal"/>
        <w:autoSpaceDE w:val="false"/>
        <w:jc w:val="both"/>
        <w:rPr/>
      </w:pPr>
      <w:r>
        <w:rPr/>
      </w:r>
    </w:p>
    <w:p>
      <w:pPr>
        <w:pStyle w:val="Normal"/>
        <w:rPr>
          <w:b/>
          <w:bCs/>
        </w:rPr>
      </w:pPr>
      <w:r>
        <w:rPr>
          <w:b/>
          <w:bCs/>
        </w:rPr>
        <w:t>II.</w:t>
        <w:tab/>
        <w:t>Electricity Transmission</w:t>
      </w:r>
    </w:p>
    <w:p>
      <w:pPr>
        <w:pStyle w:val="Normal"/>
        <w:jc w:val="both"/>
        <w:rPr>
          <w:b/>
          <w:bCs/>
        </w:rPr>
      </w:pPr>
      <w:r>
        <w:rPr>
          <w:b/>
          <w:bCs/>
        </w:rPr>
      </w:r>
    </w:p>
    <w:p>
      <w:pPr>
        <w:pStyle w:val="Normal"/>
        <w:jc w:val="both"/>
        <w:rPr/>
      </w:pPr>
      <w:r>
        <w:rPr/>
        <w:tab/>
        <w:t>Concern recently has been expressed about the lack of transmission facilities in California and in the western part of the United States.</w:t>
      </w:r>
      <w:r>
        <w:rPr>
          <w:rStyle w:val="FootnoteCharacters"/>
          <w:rStyle w:val="FootnoteReference"/>
          <w:vertAlign w:val="superscript"/>
        </w:rPr>
        <w:footnoteReference w:id="24"/>
      </w:r>
      <w:r>
        <w:rPr/>
        <w:t xml:space="preserve">  In a period of emergency, the federal government may have authority to require open-access transmission of electricity and to order the construction of transmission facilities.</w:t>
      </w:r>
    </w:p>
    <w:p>
      <w:pPr>
        <w:pStyle w:val="Normal"/>
        <w:jc w:val="both"/>
        <w:rPr/>
      </w:pPr>
      <w:r>
        <w:rPr/>
      </w:r>
    </w:p>
    <w:p>
      <w:pPr>
        <w:pStyle w:val="Normal"/>
        <w:numPr>
          <w:ilvl w:val="0"/>
          <w:numId w:val="0"/>
        </w:numPr>
        <w:ind w:firstLine="720" w:end="0"/>
        <w:jc w:val="both"/>
        <w:outlineLvl w:val="0"/>
        <w:rPr/>
      </w:pPr>
      <w:r>
        <w:rPr>
          <w:bCs/>
        </w:rPr>
        <w:t>A.</w:t>
        <w:tab/>
      </w:r>
      <w:r>
        <w:rPr>
          <w:bCs/>
          <w:u w:val="single"/>
        </w:rPr>
        <w:t>Open-Access Transmission</w:t>
      </w:r>
    </w:p>
    <w:p>
      <w:pPr>
        <w:pStyle w:val="Normal"/>
        <w:numPr>
          <w:ilvl w:val="0"/>
          <w:numId w:val="0"/>
        </w:numPr>
        <w:jc w:val="both"/>
        <w:outlineLvl w:val="0"/>
        <w:rPr>
          <w:bCs/>
          <w:u w:val="single"/>
        </w:rPr>
      </w:pPr>
      <w:r>
        <w:rPr>
          <w:bCs/>
          <w:u w:val="single"/>
        </w:rPr>
      </w:r>
    </w:p>
    <w:p>
      <w:pPr>
        <w:pStyle w:val="Normal"/>
        <w:numPr>
          <w:ilvl w:val="0"/>
          <w:numId w:val="0"/>
        </w:numPr>
        <w:jc w:val="both"/>
        <w:outlineLvl w:val="0"/>
        <w:rPr>
          <w:bCs/>
        </w:rPr>
      </w:pPr>
      <w:r>
        <w:rPr>
          <w:bCs/>
        </w:rPr>
        <w:tab/>
        <w:t>Federal authority to order open-access transmission service was discussed in the August 2000 emergency approaches memorandum.</w:t>
      </w:r>
      <w:r>
        <w:br w:type="page"/>
      </w:r>
    </w:p>
    <w:p>
      <w:pPr>
        <w:pStyle w:val="Normal"/>
        <w:numPr>
          <w:ilvl w:val="0"/>
          <w:numId w:val="0"/>
        </w:numPr>
        <w:ind w:start="720" w:end="0"/>
        <w:jc w:val="both"/>
        <w:outlineLvl w:val="0"/>
        <w:rPr/>
      </w:pPr>
      <w:r>
        <w:rPr>
          <w:bCs/>
        </w:rPr>
        <w:t>B.</w:t>
        <w:tab/>
      </w:r>
      <w:r>
        <w:rPr>
          <w:bCs/>
          <w:u w:val="single"/>
        </w:rPr>
        <w:t>Construction of Transmission Facilities</w:t>
      </w:r>
    </w:p>
    <w:p>
      <w:pPr>
        <w:pStyle w:val="Normal"/>
        <w:numPr>
          <w:ilvl w:val="0"/>
          <w:numId w:val="0"/>
        </w:numPr>
        <w:jc w:val="both"/>
        <w:outlineLvl w:val="0"/>
        <w:rPr>
          <w:bCs/>
          <w:u w:val="single"/>
        </w:rPr>
      </w:pPr>
      <w:r>
        <w:rPr>
          <w:bCs/>
          <w:u w:val="single"/>
        </w:rPr>
      </w:r>
    </w:p>
    <w:p>
      <w:pPr>
        <w:pStyle w:val="Normal"/>
        <w:numPr>
          <w:ilvl w:val="0"/>
          <w:numId w:val="0"/>
        </w:numPr>
        <w:jc w:val="both"/>
        <w:outlineLvl w:val="0"/>
        <w:rPr>
          <w:bCs/>
        </w:rPr>
      </w:pPr>
      <w:r>
        <w:rPr>
          <w:bCs/>
        </w:rPr>
        <w:tab/>
        <w:t>As is the case with generation facilities, the biggest obstacle to a federal solution to the lack of transmission facilities is the federal government's lack of jurisdiction over certification and siting of transmission facilities.  With the exception of transmission lines crossing U.S. borders,</w:t>
      </w:r>
      <w:r>
        <w:rPr>
          <w:rStyle w:val="FootnoteCharacters"/>
          <w:rStyle w:val="FootnoteReference"/>
          <w:bCs/>
          <w:vertAlign w:val="superscript"/>
        </w:rPr>
        <w:footnoteReference w:id="25"/>
      </w:r>
      <w:r>
        <w:rPr>
          <w:bCs/>
        </w:rPr>
        <w:t xml:space="preserve"> the federal government does not certificate interstate transmission lines and does not have power of eminent domain for transmission facilities.  State and local authorities approve and site transmission facilities.</w:t>
      </w:r>
      <w:r>
        <w:rPr>
          <w:rStyle w:val="FootnoteCharacters"/>
          <w:rStyle w:val="FootnoteReference"/>
          <w:bCs/>
          <w:vertAlign w:val="superscript"/>
        </w:rPr>
        <w:footnoteReference w:id="26"/>
      </w:r>
    </w:p>
    <w:p>
      <w:pPr>
        <w:pStyle w:val="Normal"/>
        <w:numPr>
          <w:ilvl w:val="0"/>
          <w:numId w:val="0"/>
        </w:numPr>
        <w:jc w:val="both"/>
        <w:outlineLvl w:val="0"/>
        <w:rPr>
          <w:bCs/>
        </w:rPr>
      </w:pPr>
      <w:r>
        <w:rPr>
          <w:bCs/>
        </w:rPr>
      </w:r>
    </w:p>
    <w:p>
      <w:pPr>
        <w:pStyle w:val="Normal"/>
        <w:numPr>
          <w:ilvl w:val="0"/>
          <w:numId w:val="0"/>
        </w:numPr>
        <w:jc w:val="both"/>
        <w:outlineLvl w:val="0"/>
        <w:rPr>
          <w:bCs/>
        </w:rPr>
      </w:pPr>
      <w:r>
        <w:rPr>
          <w:bCs/>
        </w:rPr>
        <w:tab/>
        <w:t>Nonetheless, for the same reasons as discussed with respect to electricity generating facilities, it may be argued that, in times of emergency, Section 202(c) of the FPA and DOE's regulations thereunder give the Secretary of Energy authority to require, by order, the construction of transmission facilities.  Section 202(c) provides that, during times of emergency, the Secretary of Energy may "require by order. . . such . . . transmission of electric energy as in [his] judgment will best meet the emergency and serve the public interest."  It could be argued that, in order to give effect to the broad authority granted to the Secretary of Energy, Section 202(c) -- of necessity -- also must confer upon the Secretary the power of eminent domain.  Otherwise, the Secretary's ability to "prevent a breakdown in electricity supply" is severely hampered.</w:t>
      </w:r>
    </w:p>
    <w:p>
      <w:pPr>
        <w:pStyle w:val="Normal"/>
        <w:numPr>
          <w:ilvl w:val="0"/>
          <w:numId w:val="0"/>
        </w:numPr>
        <w:jc w:val="both"/>
        <w:outlineLvl w:val="0"/>
        <w:rPr>
          <w:bCs/>
        </w:rPr>
      </w:pPr>
      <w:r>
        <w:rPr>
          <w:bCs/>
        </w:rPr>
      </w:r>
    </w:p>
    <w:p>
      <w:pPr>
        <w:pStyle w:val="Normal"/>
        <w:rPr>
          <w:b/>
          <w:bCs/>
        </w:rPr>
      </w:pPr>
      <w:r>
        <w:rPr>
          <w:b/>
          <w:bCs/>
        </w:rPr>
        <w:t>III.</w:t>
        <w:tab/>
        <w:t>Electricity Demand</w:t>
      </w:r>
    </w:p>
    <w:p>
      <w:pPr>
        <w:pStyle w:val="Normal"/>
        <w:jc w:val="both"/>
        <w:rPr>
          <w:b/>
          <w:bCs/>
        </w:rPr>
      </w:pPr>
      <w:r>
        <w:rPr>
          <w:b/>
          <w:bCs/>
        </w:rPr>
      </w:r>
    </w:p>
    <w:p>
      <w:pPr>
        <w:pStyle w:val="Normal"/>
        <w:ind w:firstLine="720" w:end="0"/>
        <w:jc w:val="both"/>
        <w:rPr/>
      </w:pPr>
      <w:r>
        <w:rPr/>
        <w:t>On May 3, 2001, President Bush instructed all federal agencies to reduce their peak electricity demand in California.  As described above, the Secretary of Defense also announced plans to decrease military peak power demand from the California commercial electricity grid.</w:t>
      </w:r>
    </w:p>
    <w:p>
      <w:pPr>
        <w:pStyle w:val="Normal"/>
        <w:jc w:val="both"/>
        <w:rPr/>
      </w:pPr>
      <w:r>
        <w:rPr/>
      </w:r>
    </w:p>
    <w:p>
      <w:pPr>
        <w:pStyle w:val="Normal"/>
        <w:ind w:firstLine="720" w:end="0"/>
        <w:jc w:val="both"/>
        <w:rPr/>
      </w:pPr>
      <w:r>
        <w:rPr/>
        <w:t>In addition to federal authority to require energy conservation at federal and military installations, the Emergency Energy Conservation Act</w:t>
      </w:r>
      <w:r>
        <w:rPr>
          <w:rStyle w:val="FootnoteCharacters"/>
          <w:rStyle w:val="FootnoteReference"/>
          <w:vertAlign w:val="superscript"/>
        </w:rPr>
        <w:footnoteReference w:id="27"/>
      </w:r>
      <w:r>
        <w:rPr/>
        <w:t xml:space="preserve"> ("EECA") allows the President, in time of emergency, to set conservation targets for states, </w:t>
      </w:r>
      <w:r>
        <w:rPr>
          <w:u w:val="single"/>
        </w:rPr>
        <w:t>to</w:t>
      </w:r>
      <w:r>
        <w:rPr/>
        <w:t xml:space="preserve"> </w:t>
      </w:r>
      <w:r>
        <w:rPr>
          <w:u w:val="single"/>
        </w:rPr>
        <w:t>wit</w:t>
      </w:r>
      <w:r>
        <w:rPr/>
        <w:t>:</w:t>
      </w:r>
    </w:p>
    <w:p>
      <w:pPr>
        <w:pStyle w:val="Normal"/>
        <w:jc w:val="both"/>
        <w:rPr/>
      </w:pPr>
      <w:r>
        <w:rPr/>
      </w:r>
    </w:p>
    <w:p>
      <w:pPr>
        <w:pStyle w:val="Normal"/>
        <w:ind w:start="1440" w:end="1440"/>
        <w:jc w:val="both"/>
        <w:rPr/>
      </w:pPr>
      <w:r>
        <w:rPr/>
        <w:t>Whenever the President finds, with respect to any energy source for which the President determines a severe energy supply interruption exists or is imminent. . . the President, in furtherance of the purposes of this chapter, may establish monthly emergency conservation targets for any such energy source for the Nation generally and for each State.</w:t>
      </w:r>
      <w:r>
        <w:rPr>
          <w:rStyle w:val="FootnoteCharacters"/>
          <w:rStyle w:val="FootnoteReference"/>
          <w:vertAlign w:val="superscript"/>
        </w:rPr>
        <w:footnoteReference w:id="28"/>
      </w:r>
    </w:p>
    <w:p>
      <w:pPr>
        <w:pStyle w:val="Normal"/>
        <w:ind w:end="1440"/>
        <w:jc w:val="both"/>
        <w:rPr/>
      </w:pPr>
      <w:r>
        <w:rPr/>
      </w:r>
    </w:p>
    <w:p>
      <w:pPr>
        <w:pStyle w:val="Normal"/>
        <w:ind w:firstLine="720" w:end="0"/>
        <w:jc w:val="both"/>
        <w:rPr/>
      </w:pPr>
      <w:r>
        <w:rPr/>
        <w:t xml:space="preserve">While the EECA generally is considered to address potential disruptions in U.S. petroleum (gasoline and diesel fuel) markets, it also may be argued that this statute is applicable to disruptions in electricity supply, since Congress found that "an urgent need exists to provide for emergency conservation and other measures with respect to gasoline diesel fuel, home hearing oil, </w:t>
      </w:r>
      <w:r>
        <w:rPr>
          <w:u w:val="single"/>
        </w:rPr>
        <w:t>and</w:t>
      </w:r>
      <w:r>
        <w:rPr/>
        <w:t xml:space="preserve"> </w:t>
      </w:r>
      <w:r>
        <w:rPr>
          <w:u w:val="single"/>
        </w:rPr>
        <w:t>other</w:t>
      </w:r>
      <w:r>
        <w:rPr/>
        <w:t xml:space="preserve"> </w:t>
      </w:r>
      <w:r>
        <w:rPr>
          <w:u w:val="single"/>
        </w:rPr>
        <w:t>energy</w:t>
      </w:r>
      <w:r>
        <w:rPr/>
        <w:t xml:space="preserve"> </w:t>
      </w:r>
      <w:r>
        <w:rPr>
          <w:u w:val="single"/>
        </w:rPr>
        <w:t>sources</w:t>
      </w:r>
      <w:r>
        <w:rPr/>
        <w:t xml:space="preserve"> </w:t>
      </w:r>
      <w:r>
        <w:rPr>
          <w:u w:val="single"/>
        </w:rPr>
        <w:t>in</w:t>
      </w:r>
      <w:r>
        <w:rPr/>
        <w:t xml:space="preserve"> </w:t>
      </w:r>
      <w:r>
        <w:rPr>
          <w:u w:val="single"/>
        </w:rPr>
        <w:t>potentially</w:t>
      </w:r>
      <w:r>
        <w:rPr/>
        <w:t xml:space="preserve"> </w:t>
      </w:r>
      <w:r>
        <w:rPr>
          <w:u w:val="single"/>
        </w:rPr>
        <w:t>short</w:t>
      </w:r>
      <w:r>
        <w:rPr/>
        <w:t xml:space="preserve"> </w:t>
      </w:r>
      <w:r>
        <w:rPr>
          <w:u w:val="single"/>
        </w:rPr>
        <w:t>supply</w:t>
      </w:r>
      <w:r>
        <w:rPr/>
        <w:t xml:space="preserve"> in order to cope with market disruptions and protect interstate commerce."</w:t>
      </w:r>
      <w:r>
        <w:rPr>
          <w:rStyle w:val="FootnoteCharacters"/>
          <w:rStyle w:val="FootnoteReference"/>
          <w:vertAlign w:val="superscript"/>
        </w:rPr>
        <w:footnoteReference w:id="29"/>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0"/>
        <w:ind w:start="0" w:end="0"/>
        <w:rPr/>
      </w:pPr>
      <w:r>
        <w:rPr>
          <w:rStyle w:val="FootnoteCharacters"/>
        </w:rPr>
        <w:footnoteRef/>
      </w:r>
      <w:r>
        <w:rPr>
          <w:sz w:val="20"/>
        </w:rPr>
        <w:tab/>
        <w:t>For purposes of this memorandum, "electricity supply" means the generation and sale at wholesale of electricity, and the construction of electricity generating facilities.</w:t>
      </w:r>
    </w:p>
    <w:p>
      <w:pPr>
        <w:pStyle w:val="FootnoteText"/>
        <w:spacing w:before="0" w:after="0"/>
        <w:ind w:start="0" w:end="0"/>
        <w:rPr>
          <w:sz w:val="20"/>
        </w:rPr>
      </w:pPr>
      <w:r>
        <w:rPr>
          <w:sz w:val="20"/>
        </w:rPr>
      </w:r>
    </w:p>
  </w:footnote>
  <w:footnote w:id="3">
    <w:p>
      <w:pPr>
        <w:pStyle w:val="FootnoteText"/>
        <w:spacing w:before="0" w:after="240"/>
        <w:ind w:start="0" w:end="0"/>
        <w:rPr/>
      </w:pPr>
      <w:r>
        <w:rPr>
          <w:rStyle w:val="FootnoteCharacters"/>
        </w:rPr>
        <w:footnoteRef/>
      </w:r>
      <w:r>
        <w:rPr>
          <w:sz w:val="20"/>
        </w:rPr>
        <w:tab/>
        <w:t xml:space="preserve">Because time is of the essence, and in light of the complexity of the question, this memorandum is not intended to be an exhaustive legal examination of all federal authorities.  Indeed, each authority identified below could be the subject of an extensive legal memorandum.  Rather, this memorandum is intended to </w:t>
      </w:r>
      <w:r>
        <w:rPr>
          <w:sz w:val="20"/>
          <w:u w:val="single"/>
        </w:rPr>
        <w:t>identify</w:t>
      </w:r>
      <w:r>
        <w:rPr>
          <w:sz w:val="20"/>
        </w:rPr>
        <w:t xml:space="preserve"> -- for further examination -- potential federal authorities which might be exercised during an emergency with respect to electricity supplies, and which may not heretofore have been considered by federal officials.  Consequently, this memorandum does not consider either the political ramifications of or the potential for legal challenges to any of the authorities identified herein.</w:t>
      </w:r>
    </w:p>
  </w:footnote>
  <w:footnote w:id="4">
    <w:p>
      <w:pPr>
        <w:pStyle w:val="FootnoteText"/>
        <w:spacing w:before="0" w:after="0"/>
        <w:ind w:start="0" w:end="0"/>
        <w:rPr/>
      </w:pPr>
      <w:r>
        <w:rPr>
          <w:rStyle w:val="FootnoteCharacters"/>
        </w:rPr>
        <w:footnoteRef/>
      </w:r>
      <w:r>
        <w:rPr/>
        <w:tab/>
      </w:r>
      <w:r>
        <w:rPr>
          <w:sz w:val="20"/>
        </w:rPr>
        <w:t>The Department of Energy ("DOE") administers Section 202(c) of the FPA.</w:t>
      </w:r>
    </w:p>
    <w:p>
      <w:pPr>
        <w:pStyle w:val="FootnoteText"/>
        <w:spacing w:before="0" w:after="0"/>
        <w:ind w:start="0" w:end="0"/>
        <w:rPr>
          <w:sz w:val="20"/>
        </w:rPr>
      </w:pPr>
      <w:r>
        <w:rPr>
          <w:sz w:val="20"/>
        </w:rPr>
      </w:r>
    </w:p>
  </w:footnote>
  <w:footnote w:id="5">
    <w:p>
      <w:pPr>
        <w:pStyle w:val="Normal"/>
        <w:jc w:val="both"/>
        <w:rPr/>
      </w:pPr>
      <w:r>
        <w:rPr>
          <w:rStyle w:val="FootnoteCharacters"/>
        </w:rPr>
        <w:footnoteRef/>
      </w:r>
      <w:r>
        <w:rPr>
          <w:sz w:val="20"/>
        </w:rPr>
        <w:tab/>
        <w:t xml:space="preserve">16 U.S.C. 824a(c) (1996).  DOE’s regulations under Section 202(c) define “emergency” as “an unexpected inadequate supply of electric energy which may result from the unexpected outage or breakdown of facilities for the generation, transmission or distribution of electric power.”  10 C.F.R. §205.371 (2000).  According to the regulations, “[a]n ‘emergency’ also can result from a sudden increase in customer demand,” and can include “extended periods of insufficient power supply as a result of inadequate planning or the failure to construct necessary facilities.”  </w:t>
      </w:r>
      <w:r>
        <w:rPr>
          <w:i/>
          <w:iCs/>
          <w:sz w:val="20"/>
        </w:rPr>
        <w:t>Id</w:t>
      </w:r>
      <w:r>
        <w:rPr>
          <w:sz w:val="20"/>
        </w:rPr>
        <w:t xml:space="preserve">.  DOE’s regulations do make clear, however, that “[a]ctions under this authority are envisioned as meeting a specific inadequate power supply situation.”  </w:t>
      </w:r>
      <w:r>
        <w:rPr>
          <w:i/>
          <w:iCs/>
          <w:sz w:val="20"/>
        </w:rPr>
        <w:t>Id</w:t>
      </w:r>
      <w:r>
        <w:rPr>
          <w:sz w:val="20"/>
        </w:rPr>
        <w:t>.</w:t>
      </w:r>
    </w:p>
    <w:p>
      <w:pPr>
        <w:pStyle w:val="Normal"/>
        <w:jc w:val="both"/>
        <w:rPr>
          <w:sz w:val="20"/>
        </w:rPr>
      </w:pPr>
      <w:r>
        <w:rPr>
          <w:sz w:val="20"/>
        </w:rPr>
      </w:r>
    </w:p>
  </w:footnote>
  <w:footnote w:id="6">
    <w:p>
      <w:pPr>
        <w:pStyle w:val="FootnoteText"/>
        <w:spacing w:before="0" w:after="0"/>
        <w:ind w:start="0" w:end="0"/>
        <w:rPr/>
      </w:pPr>
      <w:r>
        <w:rPr>
          <w:rStyle w:val="FootnoteCharacters"/>
        </w:rPr>
        <w:footnoteRef/>
      </w:r>
      <w:r>
        <w:rPr>
          <w:sz w:val="20"/>
        </w:rPr>
        <w:t xml:space="preserve"> </w:t>
      </w:r>
      <w:r>
        <w:rPr>
          <w:sz w:val="20"/>
        </w:rPr>
        <w:tab/>
      </w:r>
      <w:r>
        <w:rPr>
          <w:i/>
          <w:iCs/>
          <w:sz w:val="20"/>
        </w:rPr>
        <w:t>Amendment of Regulations Under the Federal Power Act</w:t>
      </w:r>
      <w:r>
        <w:rPr>
          <w:sz w:val="20"/>
        </w:rPr>
        <w:t>, "Order Amending Part 32 of the Regulations Under the Federal Power Act; Applications for Commission Emergency Authorization Pursuant to Section 202(c) of the Federal Power Act," Order No. 520, 52 FPC 1554, 1556 (1974) (emphasis added) ("Order No. 520"), "Order Amending Part 32 of the Regulations under the Federal Power Act; and Denying Applications for Rehearing and Reconsideration of Order Issuing Regulations," 53 FPC 282 (1975) ("Order No. 520-A").</w:t>
      </w:r>
    </w:p>
    <w:p>
      <w:pPr>
        <w:pStyle w:val="FootnoteText"/>
        <w:spacing w:before="0" w:after="0"/>
        <w:ind w:start="0" w:end="0"/>
        <w:rPr>
          <w:sz w:val="20"/>
        </w:rPr>
      </w:pPr>
      <w:r>
        <w:rPr>
          <w:sz w:val="20"/>
        </w:rPr>
      </w:r>
    </w:p>
  </w:footnote>
  <w:footnote w:id="7">
    <w:p>
      <w:pPr>
        <w:pStyle w:val="FootnoteText"/>
        <w:spacing w:before="0" w:after="0"/>
        <w:ind w:start="0" w:end="0"/>
        <w:rPr/>
      </w:pPr>
      <w:r>
        <w:rPr>
          <w:rStyle w:val="FootnoteCharacters"/>
        </w:rPr>
        <w:footnoteRef/>
      </w:r>
      <w:r>
        <w:rPr>
          <w:sz w:val="20"/>
        </w:rPr>
        <w:t xml:space="preserve"> </w:t>
      </w:r>
      <w:r>
        <w:rPr>
          <w:sz w:val="20"/>
        </w:rPr>
        <w:tab/>
      </w:r>
      <w:r>
        <w:rPr>
          <w:i/>
          <w:sz w:val="20"/>
        </w:rPr>
        <w:t>Richmond Power &amp; Light of the City of Richmond, Indiana v. FERC</w:t>
      </w:r>
      <w:r>
        <w:rPr>
          <w:sz w:val="20"/>
        </w:rPr>
        <w:t xml:space="preserve">, 574 F.2d 610 (D.C. Cir. 1978).  In 1974, concerned by forecasts of dire oil shortfalls, NEPOOL petitioned the FPC to use its emergency authority under Section 202(c) to order utilities east of the Mississippi River with excess capacity to supply it with energy.  The FPC immediately ordered eastern utilities to notify NEPOOL of any excess capacity available for "coal-by-wire" transactions and by convening a public conference to arrange a voluntary solution of NEPOOL's problems.  By later order, the FPC determined that the situation did not justify invocation of its emergency powers and granted NEPOOL's motion to withdraw its petition.  In </w:t>
      </w:r>
      <w:r>
        <w:rPr>
          <w:i/>
          <w:sz w:val="20"/>
        </w:rPr>
        <w:t>Richmond</w:t>
      </w:r>
      <w:r>
        <w:rPr>
          <w:sz w:val="20"/>
        </w:rPr>
        <w:t>, the Court, among other things, affirmed the FPC's decision to allow NEPOOL to withdraw its petition for emergency relief.</w:t>
      </w:r>
    </w:p>
  </w:footnote>
  <w:footnote w:id="8">
    <w:p>
      <w:pPr>
        <w:pStyle w:val="FootnoteText"/>
        <w:spacing w:before="0" w:after="0"/>
        <w:ind w:start="0" w:end="0"/>
        <w:rPr>
          <w:sz w:val="20"/>
        </w:rPr>
      </w:pPr>
      <w:r>
        <w:rPr>
          <w:rStyle w:val="FootnoteCharacters"/>
        </w:rPr>
        <w:footnoteRef/>
      </w:r>
      <w:r>
        <w:rPr>
          <w:sz w:val="20"/>
        </w:rPr>
      </w:r>
    </w:p>
    <w:p>
      <w:pPr>
        <w:pStyle w:val="FootnoteText"/>
        <w:spacing w:before="0" w:after="0"/>
        <w:ind w:start="0" w:end="0"/>
        <w:rPr/>
      </w:pPr>
      <w:r>
        <w:rPr>
          <w:rStyle w:val="FootnoteCharacters"/>
          <w:sz w:val="20"/>
          <w:vertAlign w:val="superscript"/>
        </w:rPr>
        <w:t>?</w:t>
      </w:r>
      <w:r>
        <w:rPr>
          <w:sz w:val="20"/>
        </w:rPr>
        <w:t xml:space="preserve"> </w:t>
        <w:tab/>
      </w:r>
      <w:r>
        <w:rPr>
          <w:rFonts w:cs="Courier New"/>
          <w:sz w:val="20"/>
          <w:szCs w:val="17"/>
        </w:rPr>
        <w:t>On December 14, 2000, the Secretary of the Department of Energy ordered that certain suppliers provide electricity to California utility companies when the ISO certifies that there is inadequate electrical supply.  DOE Order Pursuant to Section 202(c) of the Federal Power Act (Dec. 14, 2000).  Subsequent orders extended this requirement to February 7, 2001.  Amended Order Pursuant to Section 202(c) of the Federal Power Act (Dep't Energy Dec. 20, 2000); Amendment No. 2 to December 14, 2000, Order Pursuant to Section 202(c) of the Federal Power Act (Dep't Energy Dec. 27, 2000); Amendment No. 3 to December 14, 2000, Order Pursuant to Section 202(c) of the Federal Power Act (Dep't Energy Jan. 5, 2001); Order Pursuant to Section 202(c) of the Federal Power Act (Dep't Energy Jan. 11, 2001); Amended Order Pursuant to  Section 202(c) of the Federal Power Act (Dep't Energy Jan. 17, 2001); and Amendment No. 2 to January 11, 2001, Order Pursuant to Section 202(c) of the Federal Power Act (Dep't Energy Jan. 23, 2001).</w:t>
      </w:r>
    </w:p>
    <w:p>
      <w:pPr>
        <w:pStyle w:val="FootnoteText"/>
        <w:spacing w:before="0" w:after="0"/>
        <w:ind w:start="0" w:end="0"/>
        <w:rPr>
          <w:rFonts w:cs="Courier New"/>
          <w:sz w:val="20"/>
          <w:szCs w:val="17"/>
        </w:rPr>
      </w:pPr>
      <w:r>
        <w:rPr>
          <w:rFonts w:cs="Courier New"/>
          <w:sz w:val="20"/>
          <w:szCs w:val="17"/>
        </w:rPr>
      </w:r>
    </w:p>
  </w:footnote>
  <w:footnote w:id="9">
    <w:p>
      <w:pPr>
        <w:pStyle w:val="FootnoteText"/>
        <w:spacing w:before="0" w:after="240"/>
        <w:ind w:start="0" w:end="0"/>
        <w:rPr/>
      </w:pPr>
      <w:r>
        <w:rPr>
          <w:rStyle w:val="FootnoteCharacters"/>
        </w:rPr>
        <w:footnoteRef/>
      </w:r>
      <w:r>
        <w:rPr>
          <w:sz w:val="20"/>
        </w:rPr>
        <w:t xml:space="preserve"> </w:t>
      </w:r>
      <w:r>
        <w:rPr>
          <w:sz w:val="20"/>
        </w:rPr>
        <w:tab/>
        <w:t>12 U.S.C.A. § 347c.</w:t>
      </w:r>
    </w:p>
  </w:footnote>
  <w:footnote w:id="10">
    <w:p>
      <w:pPr>
        <w:pStyle w:val="FootnoteText"/>
        <w:spacing w:before="0" w:after="240"/>
        <w:ind w:start="0" w:end="0"/>
        <w:rPr/>
      </w:pPr>
      <w:r>
        <w:rPr>
          <w:rStyle w:val="FootnoteCharacters"/>
        </w:rPr>
        <w:footnoteRef/>
      </w:r>
      <w:r>
        <w:rPr>
          <w:sz w:val="20"/>
        </w:rPr>
        <w:t xml:space="preserve"> </w:t>
      </w:r>
      <w:r>
        <w:rPr>
          <w:sz w:val="20"/>
        </w:rPr>
        <w:tab/>
        <w:t>12 U.S.C.A. § 343.</w:t>
      </w:r>
    </w:p>
  </w:footnote>
  <w:footnote w:id="11">
    <w:p>
      <w:pPr>
        <w:pStyle w:val="FootnoteText"/>
        <w:spacing w:before="0" w:after="0"/>
        <w:ind w:start="0" w:end="0"/>
        <w:rPr/>
      </w:pPr>
      <w:r>
        <w:rPr>
          <w:rStyle w:val="FootnoteCharacters"/>
        </w:rPr>
        <w:footnoteRef/>
      </w:r>
      <w:r>
        <w:rPr>
          <w:sz w:val="20"/>
        </w:rPr>
        <w:t xml:space="preserve"> </w:t>
      </w:r>
      <w:r>
        <w:rPr>
          <w:sz w:val="20"/>
        </w:rPr>
        <w:tab/>
      </w:r>
      <w:r>
        <w:rPr>
          <w:rFonts w:cs="Courier New"/>
          <w:sz w:val="20"/>
          <w:szCs w:val="17"/>
        </w:rPr>
        <w:t>In January of 1995, in order to increase confidence in the Mexican peso, Treasury offered Mexico $ 4.5 billion in such short-term loans.</w:t>
      </w:r>
    </w:p>
    <w:p>
      <w:pPr>
        <w:pStyle w:val="FootnoteText"/>
        <w:spacing w:before="0" w:after="0"/>
        <w:ind w:start="0" w:end="0"/>
        <w:rPr>
          <w:rFonts w:cs="Courier New"/>
          <w:sz w:val="20"/>
          <w:szCs w:val="17"/>
        </w:rPr>
      </w:pPr>
      <w:r>
        <w:rPr>
          <w:rFonts w:cs="Courier New"/>
          <w:sz w:val="20"/>
          <w:szCs w:val="17"/>
        </w:rPr>
      </w:r>
    </w:p>
  </w:footnote>
  <w:footnote w:id="12">
    <w:p>
      <w:pPr>
        <w:pStyle w:val="FootnoteText"/>
        <w:spacing w:before="0" w:after="0"/>
        <w:ind w:start="0" w:end="0"/>
        <w:rPr/>
      </w:pPr>
      <w:r>
        <w:rPr>
          <w:rStyle w:val="FootnoteCharacters"/>
        </w:rPr>
        <w:footnoteRef/>
      </w:r>
      <w:r>
        <w:rPr>
          <w:sz w:val="20"/>
        </w:rPr>
        <w:t xml:space="preserve"> </w:t>
      </w:r>
      <w:r>
        <w:rPr>
          <w:sz w:val="20"/>
        </w:rPr>
        <w:tab/>
        <w:t>Fed Doc Clearing House Congressional Testimony, March 9, 2000.</w:t>
      </w:r>
    </w:p>
  </w:footnote>
  <w:footnote w:id="13">
    <w:p>
      <w:pPr>
        <w:pStyle w:val="FootnoteText"/>
        <w:spacing w:before="0" w:after="240"/>
        <w:ind w:start="0" w:end="0"/>
        <w:rPr/>
      </w:pPr>
      <w:r>
        <w:rPr>
          <w:rStyle w:val="FootnoteCharacters"/>
        </w:rPr>
        <w:footnoteRef/>
      </w:r>
      <w:r>
        <w:rPr>
          <w:sz w:val="20"/>
        </w:rPr>
        <w:t xml:space="preserve"> </w:t>
      </w:r>
      <w:r>
        <w:rPr>
          <w:sz w:val="20"/>
        </w:rPr>
        <w:tab/>
        <w:t>42 U.S.C.A. §7410.</w:t>
      </w:r>
    </w:p>
  </w:footnote>
  <w:footnote w:id="14">
    <w:p>
      <w:pPr>
        <w:pStyle w:val="FootnoteText"/>
        <w:spacing w:before="0" w:after="0"/>
        <w:ind w:start="0" w:end="0"/>
        <w:rPr/>
      </w:pPr>
      <w:r>
        <w:rPr>
          <w:rStyle w:val="FootnoteCharacters"/>
        </w:rPr>
        <w:footnoteRef/>
      </w:r>
      <w:r>
        <w:rPr>
          <w:sz w:val="20"/>
        </w:rPr>
        <w:t xml:space="preserve"> </w:t>
      </w:r>
      <w:r>
        <w:rPr>
          <w:sz w:val="20"/>
        </w:rPr>
        <w:tab/>
        <w:t xml:space="preserve">Such an order could arise in several ways.  An entity wishing to construct a generating facility in California (or elsewhere) could submit a request to the Secretary of Energy.  DOE’s regulations provide that requests for emergency action “will be accepted from any ‘entity,’ State Public Utility Commission, State Energy Agency, or State Governor.  Action also may be initiated by the DOE on its own motion.”  10 C.F.R. §205.370.  The regulations, in turn, define “entity” as a “private or public corporation (utility), a governmental agency, a municipality, a cooperative or a lawful association of the foregoing.”  </w:t>
      </w:r>
      <w:r>
        <w:rPr>
          <w:i/>
          <w:iCs/>
          <w:sz w:val="20"/>
        </w:rPr>
        <w:t>Id</w:t>
      </w:r>
      <w:r>
        <w:rPr>
          <w:sz w:val="20"/>
        </w:rPr>
        <w:t>.</w:t>
      </w:r>
    </w:p>
    <w:p>
      <w:pPr>
        <w:pStyle w:val="FootnoteText"/>
        <w:spacing w:before="0" w:after="0"/>
        <w:ind w:start="0" w:end="0"/>
        <w:rPr>
          <w:sz w:val="20"/>
        </w:rPr>
      </w:pPr>
      <w:r>
        <w:rPr>
          <w:sz w:val="20"/>
        </w:rPr>
      </w:r>
    </w:p>
  </w:footnote>
  <w:footnote w:id="15">
    <w:p>
      <w:pPr>
        <w:pStyle w:val="FootnoteText"/>
        <w:spacing w:before="0" w:after="240"/>
        <w:ind w:start="0" w:end="0"/>
        <w:rPr/>
      </w:pPr>
      <w:r>
        <w:rPr>
          <w:rStyle w:val="FootnoteCharacters"/>
        </w:rPr>
        <w:footnoteRef/>
      </w:r>
      <w:r>
        <w:rPr>
          <w:sz w:val="20"/>
        </w:rPr>
        <w:t xml:space="preserve"> </w:t>
      </w:r>
      <w:r>
        <w:rPr>
          <w:sz w:val="20"/>
        </w:rPr>
        <w:tab/>
        <w:t>10 C.F.R. §205.371.</w:t>
      </w:r>
    </w:p>
  </w:footnote>
  <w:footnote w:id="16">
    <w:p>
      <w:pPr>
        <w:pStyle w:val="FootnoteText"/>
        <w:spacing w:before="0" w:after="0"/>
        <w:ind w:start="0" w:end="0"/>
        <w:rPr/>
      </w:pPr>
      <w:r>
        <w:rPr>
          <w:rStyle w:val="FootnoteCharacters"/>
        </w:rPr>
        <w:footnoteRef/>
      </w:r>
      <w:r>
        <w:rPr>
          <w:sz w:val="20"/>
        </w:rPr>
        <w:t xml:space="preserve"> </w:t>
      </w:r>
      <w:r>
        <w:rPr>
          <w:sz w:val="20"/>
        </w:rPr>
        <w:tab/>
        <w:t>Order No. 520, 52 FPC at 1556 (emphasis added).</w:t>
      </w:r>
    </w:p>
    <w:p>
      <w:pPr>
        <w:pStyle w:val="FootnoteText"/>
        <w:spacing w:before="0" w:after="0"/>
        <w:ind w:start="0" w:end="0"/>
        <w:rPr>
          <w:sz w:val="20"/>
        </w:rPr>
      </w:pPr>
      <w:r>
        <w:rPr>
          <w:sz w:val="20"/>
        </w:rPr>
      </w:r>
    </w:p>
  </w:footnote>
  <w:footnote w:id="17">
    <w:p>
      <w:pPr>
        <w:pStyle w:val="FootnoteText"/>
        <w:spacing w:before="0" w:after="0"/>
        <w:ind w:start="0" w:end="0"/>
        <w:rPr/>
      </w:pPr>
      <w:r>
        <w:rPr>
          <w:rStyle w:val="FootnoteCharacters"/>
        </w:rPr>
        <w:footnoteRef/>
      </w:r>
      <w:r>
        <w:rPr>
          <w:sz w:val="20"/>
        </w:rPr>
        <w:t xml:space="preserve"> </w:t>
      </w:r>
      <w:r>
        <w:rPr>
          <w:sz w:val="20"/>
        </w:rPr>
        <w:tab/>
        <w:t>52 FPC at 1559 (citations omitted) (emphasis added).</w:t>
      </w:r>
    </w:p>
    <w:p>
      <w:pPr>
        <w:pStyle w:val="FootnoteText"/>
        <w:spacing w:before="0" w:after="0"/>
        <w:ind w:start="0" w:end="0"/>
        <w:rPr>
          <w:sz w:val="20"/>
        </w:rPr>
      </w:pPr>
      <w:r>
        <w:rPr>
          <w:sz w:val="20"/>
        </w:rPr>
      </w:r>
    </w:p>
  </w:footnote>
  <w:footnote w:id="18">
    <w:p>
      <w:pPr>
        <w:pStyle w:val="FootnoteText"/>
        <w:spacing w:before="0" w:after="0"/>
        <w:ind w:start="0" w:end="0"/>
        <w:rPr/>
      </w:pPr>
      <w:r>
        <w:rPr>
          <w:rStyle w:val="FootnoteCharacters"/>
        </w:rPr>
        <w:footnoteRef/>
      </w:r>
      <w:r>
        <w:rPr>
          <w:sz w:val="20"/>
        </w:rPr>
        <w:t xml:space="preserve"> </w:t>
      </w:r>
      <w:r>
        <w:rPr>
          <w:sz w:val="20"/>
        </w:rPr>
        <w:tab/>
        <w:t>53 FPC at 288 n.5 (emphasis added).</w:t>
      </w:r>
    </w:p>
    <w:p>
      <w:pPr>
        <w:pStyle w:val="FootnoteText"/>
        <w:spacing w:before="0" w:after="0"/>
        <w:ind w:start="0" w:end="0"/>
        <w:rPr>
          <w:sz w:val="20"/>
        </w:rPr>
      </w:pPr>
      <w:r>
        <w:rPr>
          <w:sz w:val="20"/>
        </w:rPr>
      </w:r>
    </w:p>
  </w:footnote>
  <w:footnote w:id="19">
    <w:p>
      <w:pPr>
        <w:pStyle w:val="Normal"/>
        <w:ind w:end="720"/>
        <w:jc w:val="both"/>
        <w:rPr/>
      </w:pPr>
      <w:r>
        <w:rPr>
          <w:rStyle w:val="FootnoteCharacters"/>
        </w:rPr>
        <w:footnoteRef/>
      </w:r>
      <w:r>
        <w:rPr>
          <w:sz w:val="20"/>
        </w:rPr>
        <w:t xml:space="preserve"> </w:t>
      </w:r>
      <w:r>
        <w:rPr>
          <w:sz w:val="20"/>
        </w:rPr>
        <w:tab/>
        <w:t>53 FPC at 288.</w:t>
      </w:r>
    </w:p>
    <w:p>
      <w:pPr>
        <w:pStyle w:val="Normal"/>
        <w:ind w:end="720"/>
        <w:jc w:val="both"/>
        <w:rPr>
          <w:sz w:val="20"/>
        </w:rPr>
      </w:pPr>
      <w:r>
        <w:rPr>
          <w:sz w:val="20"/>
        </w:rPr>
      </w:r>
    </w:p>
  </w:footnote>
  <w:footnote w:id="20">
    <w:p>
      <w:pPr>
        <w:pStyle w:val="FootnoteText"/>
        <w:spacing w:before="0" w:after="240"/>
        <w:ind w:start="0" w:end="0"/>
        <w:rPr/>
      </w:pPr>
      <w:r>
        <w:rPr>
          <w:rStyle w:val="FootnoteCharacters"/>
        </w:rPr>
        <w:footnoteRef/>
      </w:r>
      <w:r>
        <w:rPr/>
        <w:t xml:space="preserve"> </w:t>
      </w:r>
      <w:r>
        <w:rPr/>
        <w:tab/>
      </w:r>
      <w:r>
        <w:rPr>
          <w:rFonts w:cs="Courier New"/>
          <w:i/>
          <w:iCs/>
          <w:sz w:val="20"/>
          <w:szCs w:val="17"/>
        </w:rPr>
        <w:t>Schneidewind v. ANR Pipeline Co.</w:t>
      </w:r>
      <w:r>
        <w:rPr>
          <w:rFonts w:cs="Courier New"/>
          <w:sz w:val="20"/>
          <w:szCs w:val="17"/>
        </w:rPr>
        <w:t>, 485 U.S. 293, 300 (1988).</w:t>
      </w:r>
    </w:p>
  </w:footnote>
  <w:footnote w:id="21">
    <w:p>
      <w:pPr>
        <w:pStyle w:val="FootnoteText"/>
        <w:spacing w:before="0" w:after="0"/>
        <w:ind w:start="0" w:end="0"/>
        <w:rPr/>
      </w:pPr>
      <w:r>
        <w:rPr>
          <w:rStyle w:val="FootnoteCharacters"/>
        </w:rPr>
        <w:footnoteRef/>
      </w:r>
      <w:r>
        <w:rPr>
          <w:sz w:val="20"/>
        </w:rPr>
        <w:t xml:space="preserve"> </w:t>
      </w:r>
      <w:r>
        <w:rPr>
          <w:sz w:val="20"/>
        </w:rPr>
        <w:tab/>
      </w:r>
      <w:r>
        <w:rPr>
          <w:rFonts w:cs="Courier New"/>
          <w:i/>
          <w:iCs/>
          <w:sz w:val="20"/>
          <w:szCs w:val="17"/>
        </w:rPr>
        <w:t>Louisiana Pub. Serv. Comm'n v. FCC</w:t>
      </w:r>
      <w:r>
        <w:rPr>
          <w:rFonts w:cs="Courier New"/>
          <w:sz w:val="20"/>
          <w:szCs w:val="17"/>
        </w:rPr>
        <w:t>, 476 U.S. 355, 368-69 (1986).</w:t>
      </w:r>
    </w:p>
    <w:p>
      <w:pPr>
        <w:pStyle w:val="FootnoteText"/>
        <w:spacing w:before="0" w:after="0"/>
        <w:ind w:start="0" w:end="0"/>
        <w:rPr>
          <w:rFonts w:cs="Courier New"/>
          <w:sz w:val="20"/>
          <w:szCs w:val="17"/>
        </w:rPr>
      </w:pPr>
      <w:r>
        <w:rPr>
          <w:rFonts w:cs="Courier New"/>
          <w:sz w:val="20"/>
          <w:szCs w:val="17"/>
        </w:rPr>
      </w:r>
    </w:p>
  </w:footnote>
  <w:footnote w:id="22">
    <w:p>
      <w:pPr>
        <w:pStyle w:val="FootnoteText"/>
        <w:spacing w:before="0" w:after="240"/>
        <w:ind w:start="0" w:end="0"/>
        <w:rPr/>
      </w:pPr>
      <w:r>
        <w:rPr>
          <w:rStyle w:val="FootnoteCharacters"/>
        </w:rPr>
        <w:footnoteRef/>
      </w:r>
      <w:r>
        <w:rPr>
          <w:sz w:val="20"/>
        </w:rPr>
        <w:t xml:space="preserve"> </w:t>
      </w:r>
      <w:r>
        <w:rPr>
          <w:sz w:val="20"/>
        </w:rPr>
        <w:tab/>
        <w:t>43 U.S.C.A. § 1761 (2000).</w:t>
      </w:r>
    </w:p>
  </w:footnote>
  <w:footnote w:id="23">
    <w:p>
      <w:pPr>
        <w:pStyle w:val="FootnoteText"/>
        <w:ind w:start="0" w:end="0"/>
        <w:rPr/>
      </w:pPr>
      <w:r>
        <w:rPr>
          <w:rStyle w:val="FootnoteCharacters"/>
        </w:rPr>
        <w:footnoteRef/>
      </w:r>
      <w:r>
        <w:rPr>
          <w:sz w:val="20"/>
        </w:rPr>
        <w:tab/>
        <w:t xml:space="preserve">40 C.F.R. § 1506.11 (2000).  This regulation provides that:  </w:t>
      </w:r>
    </w:p>
    <w:p>
      <w:pPr>
        <w:pStyle w:val="FootnoteText"/>
        <w:spacing w:before="0" w:after="0"/>
        <w:ind w:start="1440" w:end="1440"/>
        <w:rPr>
          <w:sz w:val="20"/>
        </w:rPr>
      </w:pPr>
      <w:r>
        <w:rPr>
          <w:sz w:val="20"/>
        </w:rPr>
        <w:t>Where emergency circumstances make it necessary to take an action with significant environmental impact without observing the provisions of these regulations, the Federal agency taking the action should consult with the Council about alternative arrangements.  Agencies and the Council will limit such arrangements to actions necessary to control the immediate impacts of the emergency.  Other actions remain subject to NEPA review.</w:t>
      </w:r>
    </w:p>
    <w:p>
      <w:pPr>
        <w:pStyle w:val="FootnoteText"/>
        <w:spacing w:before="0" w:after="0"/>
        <w:ind w:start="0" w:end="1440"/>
        <w:rPr>
          <w:sz w:val="20"/>
        </w:rPr>
      </w:pPr>
      <w:r>
        <w:rPr>
          <w:sz w:val="20"/>
        </w:rPr>
      </w:r>
    </w:p>
    <w:p>
      <w:pPr>
        <w:pStyle w:val="FootnoteText"/>
        <w:spacing w:before="0" w:after="0"/>
        <w:ind w:firstLine="720" w:start="0" w:end="0"/>
        <w:rPr/>
      </w:pPr>
      <w:r>
        <w:rPr>
          <w:sz w:val="20"/>
        </w:rPr>
        <w:t xml:space="preserve">A court has given deference to the emergency provision in CEQ's regulations, and has noted that CEQ could "interpret the provisions of NEPA to accommodate emergency circumstances."  </w:t>
      </w:r>
      <w:r>
        <w:rPr>
          <w:i/>
          <w:iCs/>
          <w:sz w:val="20"/>
        </w:rPr>
        <w:t>Crosby v. Young</w:t>
      </w:r>
      <w:r>
        <w:rPr>
          <w:sz w:val="20"/>
        </w:rPr>
        <w:t>, 512 F.Supp. 1363, 1386 (E.D. Mich. 1981).</w:t>
      </w:r>
    </w:p>
    <w:p>
      <w:pPr>
        <w:pStyle w:val="FootnoteText"/>
        <w:spacing w:before="0" w:after="0"/>
        <w:ind w:start="0" w:end="0"/>
        <w:rPr>
          <w:sz w:val="20"/>
        </w:rPr>
      </w:pPr>
      <w:r>
        <w:rPr>
          <w:sz w:val="20"/>
        </w:rPr>
      </w:r>
    </w:p>
  </w:footnote>
  <w:footnote w:id="24">
    <w:p>
      <w:pPr>
        <w:pStyle w:val="FootnoteText"/>
        <w:spacing w:before="0" w:after="240"/>
        <w:ind w:start="0" w:end="0"/>
        <w:rPr/>
      </w:pPr>
      <w:r>
        <w:rPr>
          <w:rStyle w:val="FootnoteCharacters"/>
        </w:rPr>
        <w:footnoteRef/>
      </w:r>
      <w:r>
        <w:rPr/>
        <w:tab/>
      </w:r>
      <w:r>
        <w:rPr>
          <w:i/>
          <w:iCs/>
          <w:sz w:val="20"/>
        </w:rPr>
        <w:t>See</w:t>
      </w:r>
      <w:r>
        <w:rPr>
          <w:sz w:val="20"/>
        </w:rPr>
        <w:t xml:space="preserve"> Michael Janofsky, "Western Governors Turn Focus to Need for More Power Lines,"  </w:t>
      </w:r>
      <w:r>
        <w:rPr>
          <w:i/>
          <w:iCs/>
          <w:sz w:val="20"/>
        </w:rPr>
        <w:t>New York Times</w:t>
      </w:r>
      <w:r>
        <w:rPr>
          <w:sz w:val="20"/>
        </w:rPr>
        <w:t>, May 10, 2001, p. A20.</w:t>
      </w:r>
    </w:p>
  </w:footnote>
  <w:footnote w:id="25">
    <w:p>
      <w:pPr>
        <w:pStyle w:val="FootnoteText"/>
        <w:spacing w:before="0" w:after="240"/>
        <w:ind w:start="0" w:end="0"/>
        <w:rPr/>
      </w:pPr>
      <w:r>
        <w:rPr>
          <w:rStyle w:val="FootnoteCharacters"/>
        </w:rPr>
        <w:footnoteRef/>
      </w:r>
      <w:r>
        <w:rPr>
          <w:sz w:val="20"/>
        </w:rPr>
        <w:t xml:space="preserve"> </w:t>
      </w:r>
      <w:r>
        <w:rPr>
          <w:sz w:val="20"/>
        </w:rPr>
        <w:tab/>
        <w:t>DOE authorizes the construction of transmission lines crossing U.S. borders.</w:t>
      </w:r>
    </w:p>
  </w:footnote>
  <w:footnote w:id="26">
    <w:p>
      <w:pPr>
        <w:pStyle w:val="FootnoteText"/>
        <w:spacing w:before="0" w:after="0"/>
        <w:ind w:start="0" w:end="0"/>
        <w:rPr/>
      </w:pPr>
      <w:r>
        <w:rPr>
          <w:rStyle w:val="FootnoteCharacters"/>
        </w:rPr>
        <w:footnoteRef/>
      </w:r>
      <w:r>
        <w:rPr>
          <w:sz w:val="20"/>
        </w:rPr>
        <w:t xml:space="preserve"> </w:t>
      </w:r>
      <w:r>
        <w:rPr>
          <w:sz w:val="20"/>
        </w:rPr>
        <w:tab/>
        <w:t xml:space="preserve">In its </w:t>
      </w:r>
      <w:r>
        <w:rPr>
          <w:i/>
          <w:iCs/>
          <w:sz w:val="20"/>
        </w:rPr>
        <w:t>National Energy Policy</w:t>
      </w:r>
      <w:r>
        <w:rPr>
          <w:sz w:val="20"/>
        </w:rPr>
        <w:t xml:space="preserve"> (May 2001), the Bush Administration's National Energy Policy Development Group recommended that the President, "[d]irect the Secretary of Energy, in consultation with appropriate federal agencies and state and local government officials, to develop legislation to grant authority to obtain rights-of-way for electricity transmission lines, with the goal of creating a reliable national transmission grid.  Similar authority already exists for natural gas pipelines in recognition of their role in interstate commerce."  </w:t>
      </w:r>
      <w:r>
        <w:rPr>
          <w:i/>
          <w:iCs/>
          <w:sz w:val="20"/>
        </w:rPr>
        <w:t>National Energy Policy</w:t>
      </w:r>
      <w:r>
        <w:rPr>
          <w:sz w:val="20"/>
        </w:rPr>
        <w:t xml:space="preserve"> at 7-8.</w:t>
      </w:r>
    </w:p>
    <w:p>
      <w:pPr>
        <w:pStyle w:val="FootnoteText"/>
        <w:spacing w:before="0" w:after="0"/>
        <w:ind w:start="0" w:end="0"/>
        <w:rPr>
          <w:sz w:val="20"/>
        </w:rPr>
      </w:pPr>
      <w:r>
        <w:rPr>
          <w:sz w:val="20"/>
        </w:rPr>
      </w:r>
    </w:p>
  </w:footnote>
  <w:footnote w:id="27">
    <w:p>
      <w:pPr>
        <w:pStyle w:val="FootnoteText"/>
        <w:spacing w:before="0" w:after="240"/>
        <w:ind w:start="0" w:end="0"/>
        <w:rPr/>
      </w:pPr>
      <w:r>
        <w:rPr>
          <w:rStyle w:val="FootnoteCharacters"/>
        </w:rPr>
        <w:footnoteRef/>
      </w:r>
      <w:r>
        <w:rPr>
          <w:sz w:val="20"/>
        </w:rPr>
        <w:t xml:space="preserve"> </w:t>
      </w:r>
      <w:r>
        <w:rPr>
          <w:sz w:val="20"/>
        </w:rPr>
        <w:tab/>
        <w:t>42 U.S.C.A. §§ 8501-8541.</w:t>
      </w:r>
    </w:p>
  </w:footnote>
  <w:footnote w:id="28">
    <w:p>
      <w:pPr>
        <w:pStyle w:val="FootnoteText"/>
        <w:spacing w:before="0" w:after="0"/>
        <w:ind w:start="0" w:end="0"/>
        <w:rPr/>
      </w:pPr>
      <w:r>
        <w:rPr>
          <w:rStyle w:val="FootnoteCharacters"/>
        </w:rPr>
        <w:footnoteRef/>
      </w:r>
      <w:r>
        <w:rPr>
          <w:sz w:val="20"/>
        </w:rPr>
        <w:t xml:space="preserve"> </w:t>
      </w:r>
      <w:r>
        <w:rPr>
          <w:sz w:val="20"/>
        </w:rPr>
        <w:tab/>
        <w:t>42 U.S.C.A. § 8511(a).</w:t>
      </w:r>
    </w:p>
    <w:p>
      <w:pPr>
        <w:pStyle w:val="FootnoteText"/>
        <w:spacing w:before="0" w:after="0"/>
        <w:ind w:start="0" w:end="0"/>
        <w:rPr>
          <w:sz w:val="20"/>
        </w:rPr>
      </w:pPr>
      <w:r>
        <w:rPr>
          <w:sz w:val="20"/>
        </w:rPr>
      </w:r>
    </w:p>
  </w:footnote>
  <w:footnote w:id="29">
    <w:p>
      <w:pPr>
        <w:pStyle w:val="FootnoteText"/>
        <w:spacing w:before="0" w:after="240"/>
        <w:ind w:start="0" w:end="0"/>
        <w:rPr/>
      </w:pPr>
      <w:r>
        <w:rPr>
          <w:rStyle w:val="FootnoteCharacters"/>
        </w:rPr>
        <w:footnoteRef/>
      </w:r>
      <w:r>
        <w:rPr/>
        <w:t xml:space="preserve"> </w:t>
      </w:r>
      <w:r>
        <w:rPr/>
        <w:tab/>
      </w:r>
      <w:r>
        <w:rPr>
          <w:sz w:val="20"/>
        </w:rPr>
        <w:t>42 U.S.C.A. §8501(a)(4) (emphasis added).</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spacing w:before="0" w:after="240"/>
      <w:ind w:hanging="0" w:start="432"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2001-05-23T17:22:00Z</dcterms:created>
  <dc:creator>System Administration</dc:creator>
  <dc:description/>
  <dc:language>en-CA</dc:language>
  <cp:lastModifiedBy>System Administration</cp:lastModifiedBy>
  <cp:lastPrinted>2001-05-23T14:11:00Z</cp:lastPrinted>
  <dcterms:modified xsi:type="dcterms:W3CDTF">2001-05-23T17:22:00Z</dcterms:modified>
  <cp:revision>2</cp:revision>
  <dc:subject/>
  <dc:title>MEMORANDUM</dc:title>
</cp:coreProperties>
</file>