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Financial Trading</w:t>
      </w:r>
    </w:p>
    <w:p>
      <w:pPr>
        <w:pStyle w:val="Heading2"/>
        <w:ind w:hanging="0" w:start="0"/>
        <w:rPr/>
      </w:pPr>
      <w:r>
        <w:rPr/>
        <w:t>SEC FORM 13F FILING</w:t>
      </w:r>
    </w:p>
    <w:p>
      <w:pPr>
        <w:pStyle w:val="Heading2"/>
        <w:ind w:hanging="0" w:start="0"/>
        <w:rPr/>
      </w:pPr>
      <w:r>
        <w:rPr/>
        <w:t>Discussion Document</w:t>
      </w:r>
    </w:p>
    <w:p>
      <w:pPr>
        <w:pStyle w:val="Heading2"/>
        <w:ind w:hanging="0" w:start="0"/>
        <w:rPr/>
      </w:pPr>
      <w:r>
        <w:rPr/>
        <w:t>February 8, 2000</w:t>
      </w:r>
    </w:p>
    <w:p>
      <w:pPr>
        <w:pStyle w:val="Normal"/>
        <w:jc w:val="both"/>
        <w:rPr/>
      </w:pPr>
      <w:r>
        <w:rPr/>
      </w:r>
    </w:p>
    <w:p>
      <w:pPr>
        <w:pStyle w:val="Heading1"/>
        <w:ind w:hanging="0" w:start="0"/>
        <w:jc w:val="both"/>
        <w:rPr>
          <w:b/>
        </w:rPr>
      </w:pPr>
      <w:r>
        <w:rPr>
          <w:b/>
        </w:rPr>
        <w:t xml:space="preserve">Law </w:t>
      </w:r>
    </w:p>
    <w:p>
      <w:pPr>
        <w:pStyle w:val="Normal"/>
        <w:jc w:val="both"/>
        <w:rPr>
          <w:b/>
        </w:rPr>
      </w:pPr>
      <w:r>
        <w:rPr>
          <w:b/>
        </w:rPr>
      </w:r>
    </w:p>
    <w:p>
      <w:pPr>
        <w:pStyle w:val="Normal"/>
        <w:numPr>
          <w:ilvl w:val="0"/>
          <w:numId w:val="13"/>
        </w:numPr>
        <w:jc w:val="both"/>
        <w:rPr/>
      </w:pPr>
      <w:r>
        <w:rPr/>
        <w:t>Form 13F is the reporting form filed by Institutional Investment Managers pursuant to Section 13(f) of the Securities Exchange Act of 1934.</w:t>
      </w:r>
    </w:p>
    <w:p>
      <w:pPr>
        <w:pStyle w:val="Normal"/>
        <w:jc w:val="both"/>
        <w:rPr/>
      </w:pPr>
      <w:r>
        <w:rPr/>
      </w:r>
    </w:p>
    <w:p>
      <w:pPr>
        <w:pStyle w:val="Normal"/>
        <w:numPr>
          <w:ilvl w:val="0"/>
          <w:numId w:val="9"/>
        </w:numPr>
        <w:jc w:val="both"/>
        <w:rPr/>
      </w:pPr>
      <w:r>
        <w:rPr/>
        <w:t xml:space="preserve">An Institutional Investment Manager (an entity that either invests in, or buys and sells, securities for its own account) that exercises investment discretion over </w:t>
      </w:r>
      <w:r>
        <w:rPr>
          <w:b/>
        </w:rPr>
        <w:t>$100 million or more</w:t>
      </w:r>
      <w:r>
        <w:rPr/>
        <w:t xml:space="preserve"> in Section 13(f) securities (see below for what’s included) must file Form 13F.</w:t>
      </w:r>
    </w:p>
    <w:p>
      <w:pPr>
        <w:pStyle w:val="Normal"/>
        <w:jc w:val="both"/>
        <w:rPr/>
      </w:pPr>
      <w:r>
        <w:rPr/>
      </w:r>
    </w:p>
    <w:p>
      <w:pPr>
        <w:pStyle w:val="Normal"/>
        <w:numPr>
          <w:ilvl w:val="0"/>
          <w:numId w:val="2"/>
        </w:numPr>
        <w:jc w:val="both"/>
        <w:rPr/>
      </w:pPr>
      <w:r>
        <w:rPr/>
        <w:t>If the Manager meets the requirements of Section 13(f), it must file Form 13F regardless of whether it is a SEC-registered investment adviser.</w:t>
      </w:r>
    </w:p>
    <w:p>
      <w:pPr>
        <w:pStyle w:val="Normal"/>
        <w:jc w:val="both"/>
        <w:rPr/>
      </w:pPr>
      <w:r>
        <w:rPr/>
      </w:r>
    </w:p>
    <w:p>
      <w:pPr>
        <w:pStyle w:val="Normal"/>
        <w:numPr>
          <w:ilvl w:val="0"/>
          <w:numId w:val="2"/>
        </w:numPr>
        <w:jc w:val="both"/>
        <w:rPr/>
      </w:pPr>
      <w:r>
        <w:rPr>
          <w:i/>
        </w:rPr>
        <w:t>Purpose:</w:t>
      </w:r>
      <w:r>
        <w:rPr/>
        <w:t xml:space="preserve">  Congress passed 13(f) in 1975 to increase public availability of information about institutional investor’s securities holdings, believing it would enhance investor confidence in market integrity.</w:t>
      </w:r>
    </w:p>
    <w:p>
      <w:pPr>
        <w:pStyle w:val="Normal"/>
        <w:jc w:val="both"/>
        <w:rPr/>
      </w:pPr>
      <w:r>
        <w:rPr/>
      </w:r>
    </w:p>
    <w:p>
      <w:pPr>
        <w:pStyle w:val="Heading1"/>
        <w:ind w:hanging="0" w:start="0"/>
        <w:jc w:val="both"/>
        <w:rPr>
          <w:b/>
        </w:rPr>
      </w:pPr>
      <w:r>
        <w:rPr>
          <w:b/>
        </w:rPr>
        <w:t>Reporting Requirements</w:t>
      </w:r>
    </w:p>
    <w:p>
      <w:pPr>
        <w:pStyle w:val="Normal"/>
        <w:jc w:val="both"/>
        <w:rPr>
          <w:b/>
        </w:rPr>
      </w:pPr>
      <w:r>
        <w:rPr>
          <w:b/>
        </w:rPr>
      </w:r>
    </w:p>
    <w:p>
      <w:pPr>
        <w:pStyle w:val="Normal"/>
        <w:numPr>
          <w:ilvl w:val="0"/>
          <w:numId w:val="8"/>
        </w:numPr>
        <w:jc w:val="both"/>
        <w:rPr/>
      </w:pPr>
      <w:r>
        <w:rPr/>
        <w:t>Fair market value as of the last trading day of any calendar month used to determine whether or not  $100 million filing threshold has been met.</w:t>
      </w:r>
    </w:p>
    <w:p>
      <w:pPr>
        <w:pStyle w:val="Normal"/>
        <w:jc w:val="both"/>
        <w:rPr/>
      </w:pPr>
      <w:r>
        <w:rPr/>
      </w:r>
    </w:p>
    <w:p>
      <w:pPr>
        <w:pStyle w:val="Normal"/>
        <w:numPr>
          <w:ilvl w:val="0"/>
          <w:numId w:val="10"/>
        </w:numPr>
        <w:jc w:val="both"/>
        <w:rPr/>
      </w:pPr>
      <w:r>
        <w:rPr/>
        <w:t>Must file first Form 13F for the December quarter of the calendar year during which $100 million filing threshold first reached, within 45 days after the last day of the calendar year.  So, report FMV as of December 31, 1999. ECT Investments had not reached the $100 million threshold until 1999.</w:t>
      </w:r>
    </w:p>
    <w:p>
      <w:pPr>
        <w:pStyle w:val="Normal"/>
        <w:jc w:val="both"/>
        <w:rPr/>
      </w:pPr>
      <w:r>
        <w:rPr/>
      </w:r>
    </w:p>
    <w:p>
      <w:pPr>
        <w:pStyle w:val="Normal"/>
        <w:numPr>
          <w:ilvl w:val="0"/>
          <w:numId w:val="10"/>
        </w:numPr>
        <w:jc w:val="both"/>
        <w:rPr/>
      </w:pPr>
      <w:r>
        <w:rPr/>
        <w:t>After first filing is triggered and made, filings must be submitted for the March, June, and September quarters of the following calendar year, even if the market value of your Section 13(f) securities during those quarters falls below the $100 million level.</w:t>
      </w:r>
    </w:p>
    <w:p>
      <w:pPr>
        <w:pStyle w:val="Normal"/>
        <w:jc w:val="both"/>
        <w:rPr/>
      </w:pPr>
      <w:r>
        <w:rPr/>
      </w:r>
    </w:p>
    <w:p>
      <w:pPr>
        <w:pStyle w:val="Normal"/>
        <w:numPr>
          <w:ilvl w:val="0"/>
          <w:numId w:val="7"/>
        </w:numPr>
        <w:jc w:val="both"/>
        <w:rPr/>
      </w:pPr>
      <w:r>
        <w:rPr/>
        <w:t xml:space="preserve">Form 13F filing deadline is </w:t>
      </w:r>
      <w:r>
        <w:rPr>
          <w:u w:val="single"/>
        </w:rPr>
        <w:t>45 calendar days after the end</w:t>
      </w:r>
      <w:r>
        <w:rPr/>
        <w:t xml:space="preserve"> of the relevant March, June, September, or December quarter.</w:t>
      </w:r>
    </w:p>
    <w:p>
      <w:pPr>
        <w:pStyle w:val="Normal"/>
        <w:jc w:val="both"/>
        <w:rPr/>
      </w:pPr>
      <w:r>
        <w:rPr/>
      </w:r>
    </w:p>
    <w:p>
      <w:pPr>
        <w:pStyle w:val="Normal"/>
        <w:numPr>
          <w:ilvl w:val="0"/>
          <w:numId w:val="7"/>
        </w:numPr>
        <w:jc w:val="both"/>
        <w:rPr/>
      </w:pPr>
      <w:r>
        <w:rPr/>
        <w:t>If we are never at $100 million mark at end of any month during 2000, reporting obligation would end after September 2000 (but could be retriggered).</w:t>
      </w:r>
    </w:p>
    <w:p>
      <w:pPr>
        <w:pStyle w:val="Normal"/>
        <w:jc w:val="both"/>
        <w:rPr/>
      </w:pPr>
      <w:r>
        <w:rPr/>
      </w:r>
    </w:p>
    <w:p>
      <w:pPr>
        <w:pStyle w:val="Normal"/>
        <w:numPr>
          <w:ilvl w:val="0"/>
          <w:numId w:val="6"/>
        </w:numPr>
        <w:jc w:val="both"/>
        <w:rPr/>
      </w:pPr>
      <w:r>
        <w:rPr/>
        <w:t xml:space="preserve">All public Form 13F filings and all amendments are submitted and available via EDGAR. (Available on SEC on-line access database; </w:t>
      </w:r>
      <w:hyperlink r:id="rId2">
        <w:r>
          <w:rPr>
            <w:rStyle w:val="Hyperlink"/>
            <w:u w:val="none"/>
          </w:rPr>
          <w:t>www.freeedgar.com)</w:t>
        </w:r>
      </w:hyperlink>
    </w:p>
    <w:p>
      <w:pPr>
        <w:pStyle w:val="Normal"/>
        <w:jc w:val="both"/>
        <w:rPr/>
      </w:pPr>
      <w:r>
        <w:rPr/>
      </w:r>
    </w:p>
    <w:p>
      <w:pPr>
        <w:pStyle w:val="Normal"/>
        <w:numPr>
          <w:ilvl w:val="0"/>
          <w:numId w:val="5"/>
        </w:numPr>
        <w:jc w:val="both"/>
        <w:rPr/>
      </w:pPr>
      <w:r>
        <w:rPr/>
        <w:t>JEDI reports 13F filings quarterly</w:t>
      </w:r>
    </w:p>
    <w:p>
      <w:pPr>
        <w:pStyle w:val="Normal"/>
        <w:jc w:val="both"/>
        <w:rPr/>
      </w:pPr>
      <w:r>
        <w:rPr/>
      </w:r>
    </w:p>
    <w:p>
      <w:pPr>
        <w:pStyle w:val="Heading1"/>
        <w:ind w:hanging="0" w:start="0"/>
        <w:jc w:val="both"/>
        <w:rPr>
          <w:b/>
        </w:rPr>
      </w:pPr>
      <w:r>
        <w:rPr>
          <w:b/>
        </w:rPr>
        <w:t>Reportable long positions</w:t>
      </w:r>
    </w:p>
    <w:p>
      <w:pPr>
        <w:pStyle w:val="Normal"/>
        <w:jc w:val="both"/>
        <w:rPr>
          <w:b/>
        </w:rPr>
      </w:pPr>
      <w:r>
        <w:rPr>
          <w:b/>
        </w:rPr>
      </w:r>
    </w:p>
    <w:p>
      <w:pPr>
        <w:pStyle w:val="Normal"/>
        <w:numPr>
          <w:ilvl w:val="0"/>
          <w:numId w:val="3"/>
        </w:numPr>
        <w:jc w:val="both"/>
        <w:rPr/>
      </w:pPr>
      <w:r>
        <w:rPr>
          <w:u w:val="single"/>
        </w:rPr>
        <w:t>Official List of Section 13(f) securities</w:t>
      </w:r>
      <w:r>
        <w:rPr/>
        <w:t>.  Section 13(f) securities are equity securities of a class described in Section 13(d)(1) of the Securities Exchange Act.  Generally, class includes exchange-traded (e.g., NYSE, AMEX, NASDQ) stocks, equity options and warrants, shares of closed-end investment companies and certain convertible debt securities.</w:t>
      </w:r>
    </w:p>
    <w:p>
      <w:pPr>
        <w:pStyle w:val="Normal"/>
        <w:jc w:val="both"/>
        <w:rPr/>
      </w:pPr>
      <w:r>
        <w:rPr/>
      </w:r>
    </w:p>
    <w:p>
      <w:pPr>
        <w:pStyle w:val="Normal"/>
        <w:numPr>
          <w:ilvl w:val="0"/>
          <w:numId w:val="3"/>
        </w:numPr>
        <w:jc w:val="both"/>
        <w:rPr/>
      </w:pPr>
      <w:r>
        <w:rPr/>
        <w:t>Report total fair market value of only the long positions in Section 13(f) securities as of the measurement date (last trading day of relevant calendar quarter).</w:t>
      </w:r>
    </w:p>
    <w:p>
      <w:pPr>
        <w:pStyle w:val="Header"/>
        <w:tabs>
          <w:tab w:val="clear" w:pos="4320"/>
          <w:tab w:val="clear" w:pos="8640"/>
        </w:tabs>
        <w:jc w:val="both"/>
        <w:rPr/>
      </w:pPr>
      <w:r>
        <w:rPr/>
      </w:r>
    </w:p>
    <w:p>
      <w:pPr>
        <w:pStyle w:val="Normal"/>
        <w:numPr>
          <w:ilvl w:val="0"/>
          <w:numId w:val="4"/>
        </w:numPr>
        <w:jc w:val="both"/>
        <w:rPr/>
      </w:pPr>
      <w:r>
        <w:rPr/>
        <w:t>BUT, EXCLUDE from Report:</w:t>
      </w:r>
    </w:p>
    <w:p>
      <w:pPr>
        <w:pStyle w:val="Normal"/>
        <w:numPr>
          <w:ilvl w:val="0"/>
          <w:numId w:val="4"/>
        </w:numPr>
        <w:tabs>
          <w:tab w:val="left" w:pos="720" w:leader="none"/>
        </w:tabs>
        <w:ind w:hanging="360" w:start="720" w:end="0"/>
        <w:jc w:val="both"/>
        <w:rPr/>
      </w:pPr>
      <w:r>
        <w:rPr/>
        <w:t xml:space="preserve">Shorts </w:t>
      </w:r>
    </w:p>
    <w:p>
      <w:pPr>
        <w:pStyle w:val="Normal"/>
        <w:numPr>
          <w:ilvl w:val="0"/>
          <w:numId w:val="4"/>
        </w:numPr>
        <w:tabs>
          <w:tab w:val="left" w:pos="720" w:leader="none"/>
        </w:tabs>
        <w:ind w:hanging="360" w:start="720" w:end="0"/>
        <w:jc w:val="both"/>
        <w:rPr/>
      </w:pPr>
      <w:r>
        <w:rPr/>
        <w:t>Swaps (also, can’t be used to reduce reportable long position)</w:t>
      </w:r>
    </w:p>
    <w:p>
      <w:pPr>
        <w:pStyle w:val="Normal"/>
        <w:numPr>
          <w:ilvl w:val="0"/>
          <w:numId w:val="4"/>
        </w:numPr>
        <w:tabs>
          <w:tab w:val="left" w:pos="720" w:leader="none"/>
        </w:tabs>
        <w:ind w:hanging="360" w:start="720" w:end="0"/>
        <w:jc w:val="both"/>
        <w:rPr/>
      </w:pPr>
      <w:r>
        <w:rPr/>
        <w:t>Derivatives</w:t>
      </w:r>
    </w:p>
    <w:p>
      <w:pPr>
        <w:pStyle w:val="Normal"/>
        <w:numPr>
          <w:ilvl w:val="0"/>
          <w:numId w:val="12"/>
        </w:numPr>
        <w:tabs>
          <w:tab w:val="left" w:pos="720" w:leader="none"/>
        </w:tabs>
        <w:ind w:hanging="360" w:start="720" w:end="0"/>
        <w:jc w:val="both"/>
        <w:rPr/>
      </w:pPr>
      <w:r>
        <w:rPr/>
        <w:t xml:space="preserve">Foreign issues (only if those shares are NOT traded on US Exchange (e.g., NYSE, AMEX) or NASDAQ </w:t>
      </w:r>
    </w:p>
    <w:p>
      <w:pPr>
        <w:pStyle w:val="Normal"/>
        <w:numPr>
          <w:ilvl w:val="0"/>
          <w:numId w:val="12"/>
        </w:numPr>
        <w:tabs>
          <w:tab w:val="left" w:pos="720" w:leader="none"/>
        </w:tabs>
        <w:ind w:hanging="360" w:start="720" w:end="0"/>
        <w:jc w:val="both"/>
        <w:rPr/>
      </w:pPr>
      <w:r>
        <w:rPr/>
        <w:t>Other securities NOT listed on Official List of Section 13(f) securities (excluded preferreds, options-calls, e.g., Abraxas Petroleum)</w:t>
      </w:r>
    </w:p>
    <w:p>
      <w:pPr>
        <w:pStyle w:val="Normal"/>
        <w:numPr>
          <w:ilvl w:val="0"/>
          <w:numId w:val="12"/>
        </w:numPr>
        <w:tabs>
          <w:tab w:val="left" w:pos="720" w:leader="none"/>
        </w:tabs>
        <w:ind w:hanging="360" w:start="720" w:end="0"/>
        <w:jc w:val="both"/>
        <w:rPr/>
      </w:pPr>
      <w:r>
        <w:rPr/>
        <w:t>Fair value of position less than $200,000 and less than 10,000 shares</w:t>
      </w:r>
    </w:p>
    <w:p>
      <w:pPr>
        <w:pStyle w:val="Normal"/>
        <w:jc w:val="both"/>
        <w:rPr/>
      </w:pPr>
      <w:r>
        <w:rPr/>
      </w:r>
    </w:p>
    <w:p>
      <w:pPr>
        <w:pStyle w:val="Heading1"/>
        <w:ind w:hanging="0" w:start="0"/>
        <w:jc w:val="both"/>
        <w:rPr/>
      </w:pPr>
      <w:r>
        <w:rPr/>
      </w:r>
    </w:p>
    <w:p>
      <w:pPr>
        <w:pStyle w:val="Heading1"/>
        <w:ind w:hanging="0" w:start="0"/>
        <w:jc w:val="both"/>
        <w:rPr/>
      </w:pPr>
      <w:r>
        <w:rPr/>
      </w:r>
    </w:p>
    <w:p>
      <w:pPr>
        <w:pStyle w:val="Heading1"/>
        <w:ind w:hanging="0" w:start="0"/>
        <w:jc w:val="both"/>
        <w:rPr/>
      </w:pPr>
      <w:r>
        <w:rPr/>
      </w:r>
    </w:p>
    <w:p>
      <w:pPr>
        <w:pStyle w:val="Heading1"/>
        <w:ind w:hanging="0" w:start="0"/>
        <w:jc w:val="both"/>
        <w:rPr>
          <w:b/>
        </w:rPr>
      </w:pPr>
      <w:r>
        <w:rPr>
          <w:b/>
        </w:rPr>
        <w:t>Business Implications/How viewed in Marketplace</w:t>
      </w:r>
    </w:p>
    <w:p>
      <w:pPr>
        <w:pStyle w:val="Normal"/>
        <w:jc w:val="both"/>
        <w:rPr>
          <w:b/>
        </w:rPr>
      </w:pPr>
      <w:r>
        <w:rPr>
          <w:b/>
        </w:rPr>
      </w:r>
    </w:p>
    <w:p>
      <w:pPr>
        <w:pStyle w:val="Normal"/>
        <w:numPr>
          <w:ilvl w:val="0"/>
          <w:numId w:val="11"/>
        </w:numPr>
        <w:jc w:val="both"/>
        <w:rPr/>
      </w:pPr>
      <w:r>
        <w:rPr/>
        <w:t>Per Goldman Sachs,</w:t>
      </w:r>
    </w:p>
    <w:p>
      <w:pPr>
        <w:pStyle w:val="Normal"/>
        <w:numPr>
          <w:ilvl w:val="0"/>
          <w:numId w:val="11"/>
        </w:numPr>
        <w:tabs>
          <w:tab w:val="left" w:pos="720" w:leader="none"/>
        </w:tabs>
        <w:ind w:hanging="360" w:start="720" w:end="0"/>
        <w:jc w:val="both"/>
        <w:rPr/>
      </w:pPr>
      <w:r>
        <w:rPr/>
        <w:t>There are people who look at reports, which are available over the internet and Bloomberg (HDS function)</w:t>
      </w:r>
    </w:p>
    <w:p>
      <w:pPr>
        <w:pStyle w:val="Normal"/>
        <w:numPr>
          <w:ilvl w:val="0"/>
          <w:numId w:val="11"/>
        </w:numPr>
        <w:tabs>
          <w:tab w:val="left" w:pos="720" w:leader="none"/>
        </w:tabs>
        <w:ind w:hanging="360" w:start="720" w:end="0"/>
        <w:jc w:val="both"/>
        <w:rPr/>
      </w:pPr>
      <w:r>
        <w:rPr/>
        <w:t>Short sellers use particularly to identify who can control float and squeeze float</w:t>
      </w:r>
    </w:p>
    <w:p>
      <w:pPr>
        <w:pStyle w:val="Normal"/>
        <w:numPr>
          <w:ilvl w:val="0"/>
          <w:numId w:val="11"/>
        </w:numPr>
        <w:tabs>
          <w:tab w:val="left" w:pos="720" w:leader="none"/>
        </w:tabs>
        <w:ind w:hanging="360" w:start="720" w:end="0"/>
        <w:jc w:val="both"/>
        <w:rPr/>
      </w:pPr>
      <w:r>
        <w:rPr/>
        <w:t>Confidentiality treatment is very difficult to obtain from SEC (not available to us in this context)</w:t>
      </w:r>
    </w:p>
    <w:p>
      <w:pPr>
        <w:pStyle w:val="Normal"/>
        <w:jc w:val="both"/>
        <w:rPr/>
      </w:pPr>
      <w:r>
        <w:rPr/>
      </w:r>
    </w:p>
    <w:p>
      <w:pPr>
        <w:pStyle w:val="Normal"/>
        <w:numPr>
          <w:ilvl w:val="0"/>
          <w:numId w:val="11"/>
        </w:numPr>
        <w:jc w:val="both"/>
        <w:rPr/>
      </w:pPr>
      <w:r>
        <w:rPr/>
        <w:t>Per Morgan Stanley, only time heard used was relating to securities lending</w:t>
      </w:r>
    </w:p>
    <w:p>
      <w:pPr>
        <w:pStyle w:val="Normal"/>
        <w:numPr>
          <w:ilvl w:val="0"/>
          <w:numId w:val="11"/>
        </w:numPr>
        <w:tabs>
          <w:tab w:val="left" w:pos="720" w:leader="none"/>
        </w:tabs>
        <w:ind w:hanging="360" w:start="720" w:end="0"/>
        <w:jc w:val="both"/>
        <w:rPr/>
      </w:pPr>
      <w:r>
        <w:rPr/>
        <w:t xml:space="preserve"> </w:t>
      </w:r>
      <w:r>
        <w:rPr/>
        <w:t xml:space="preserve">Desks may review top 10 institutional managers’ filings to find a particular security, which the desk wants to borrow  </w:t>
      </w:r>
    </w:p>
    <w:p>
      <w:pPr>
        <w:pStyle w:val="Heading1"/>
        <w:ind w:hanging="0" w:start="0"/>
        <w:jc w:val="both"/>
        <w:rPr/>
      </w:pPr>
      <w:r>
        <w:rPr/>
      </w:r>
    </w:p>
    <w:sectPr>
      <w:headerReference w:type="default" r:id="rId3"/>
      <w:footerReference w:type="default" r:id="rId4"/>
      <w:type w:val="nextPage"/>
      <w:pgSz w:w="12240" w:h="15840"/>
      <w:pgMar w:left="720" w:right="720" w:gutter="0" w:header="432" w:top="720" w:footer="432"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/mnt/main-storage/datasets/enron-docs/doc/13F.2_8_00.doc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u w:val="single"/>
      </w:rPr>
    </w:pPr>
    <w:r>
      <w:rPr>
        <w:b/>
        <w:i/>
        <w:u w:val="single"/>
      </w:rPr>
      <w:t>Privileged &amp; 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2000-02-08T21:26:00Z</dcterms:created>
  <dc:creator>sglover   x3-3210</dc:creator>
  <dc:description/>
  <dc:language>en-CA</dc:language>
  <cp:lastModifiedBy>sglover   x3-3210</cp:lastModifiedBy>
  <cp:lastPrinted>2000-02-07T18:13:00Z</cp:lastPrinted>
  <dcterms:modified xsi:type="dcterms:W3CDTF">2000-02-08T21:26:00Z</dcterms:modified>
  <cp:revision>2</cp:revision>
  <dc:subject/>
  <dc:title>Financial Trading</dc:title>
</cp:coreProperties>
</file>