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start"/>
        <w:rPr>
          <w:sz w:val="28"/>
        </w:rPr>
      </w:pPr>
      <w:r>
        <w:rPr/>
        <w:tab/>
        <w:tab/>
        <w:tab/>
        <w:tab/>
        <w:tab/>
        <w:tab/>
        <w:tab/>
        <w:t>DRAFT - 3/15/2001 7:00 PM</w:t>
      </w:r>
    </w:p>
    <w:p>
      <w:pPr>
        <w:pStyle w:val="Normal"/>
        <w:widowControl/>
        <w:tabs>
          <w:tab w:val="clear" w:pos="720"/>
          <w:tab w:val="left" w:pos="-1440" w:leader="none"/>
          <w:tab w:val="left" w:pos="-720" w:leader="none"/>
        </w:tabs>
        <w:bidi w:val="0"/>
        <w:ind w:hanging="0" w:start="432"/>
        <w:jc w:val="start"/>
        <w:rPr>
          <w:b/>
          <w:sz w:val="28"/>
        </w:rPr>
      </w:pPr>
      <w:r>
        <w:rPr>
          <w:b/>
          <w:sz w:val="28"/>
        </w:rPr>
      </w:r>
    </w:p>
    <w:p>
      <w:pPr>
        <w:pStyle w:val="Heading3"/>
        <w:bidi w:val="0"/>
        <w:rPr>
          <w:rFonts w:ascii="Times New Roman" w:hAnsi="Times New Roman"/>
        </w:rPr>
      </w:pPr>
      <w:r>
        <w:rPr>
          <w:rFonts w:ascii="Times New Roman" w:hAnsi="Times New Roman"/>
        </w:rPr>
        <w:t>UNITED STATES OF AMERICA</w:t>
      </w:r>
    </w:p>
    <w:p>
      <w:pPr>
        <w:pStyle w:val="Normal"/>
        <w:widowControl/>
        <w:tabs>
          <w:tab w:val="clear" w:pos="720"/>
          <w:tab w:val="left" w:pos="-1440" w:leader="none"/>
          <w:tab w:val="left" w:pos="-720" w:leader="none"/>
        </w:tabs>
        <w:bidi w:val="0"/>
        <w:jc w:val="center"/>
        <w:rPr>
          <w:rFonts w:ascii="Times New Roman" w:hAnsi="Times New Roman"/>
          <w:b/>
          <w:sz w:val="28"/>
        </w:rPr>
      </w:pPr>
      <w:r>
        <w:rPr>
          <w:rFonts w:ascii="Times New Roman" w:hAnsi="Times New Roman"/>
          <w:b/>
          <w:sz w:val="28"/>
        </w:rPr>
        <w:t>BEFORE THE</w:t>
      </w:r>
    </w:p>
    <w:p>
      <w:pPr>
        <w:pStyle w:val="Normal"/>
        <w:widowControl/>
        <w:tabs>
          <w:tab w:val="clear" w:pos="720"/>
          <w:tab w:val="left" w:pos="-1440" w:leader="none"/>
          <w:tab w:val="left" w:pos="-720" w:leader="none"/>
        </w:tabs>
        <w:bidi w:val="0"/>
        <w:jc w:val="center"/>
        <w:rPr>
          <w:rFonts w:ascii="Times New Roman" w:hAnsi="Times New Roman"/>
          <w:sz w:val="24"/>
        </w:rPr>
      </w:pPr>
      <w:r>
        <w:rPr>
          <w:rFonts w:ascii="Times New Roman" w:hAnsi="Times New Roman"/>
          <w:b/>
          <w:sz w:val="28"/>
        </w:rPr>
        <w:t>FEDERAL ENERGY REGULATORY COMMISSION</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________________________________________________</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ab/>
        <w:tab/>
        <w:tab/>
        <w:tab/>
        <w:tab/>
        <w:tab/>
        <w:tab/>
        <w:tab/>
        <w:t>)</w:t>
        <w:tab/>
        <w:tab/>
        <w:tab/>
        <w:tab/>
        <w:tab/>
      </w:r>
    </w:p>
    <w:p>
      <w:pPr>
        <w:pStyle w:val="Normal"/>
        <w:widowControl/>
        <w:tabs>
          <w:tab w:val="clear" w:pos="720"/>
          <w:tab w:val="left" w:pos="-1440" w:leader="none"/>
          <w:tab w:val="left" w:pos="-720" w:leader="none"/>
        </w:tabs>
        <w:bidi w:val="0"/>
        <w:ind w:hanging="5472" w:start="5472"/>
        <w:jc w:val="start"/>
        <w:rPr>
          <w:sz w:val="24"/>
        </w:rPr>
      </w:pPr>
      <w:r>
        <w:rPr>
          <w:rFonts w:ascii="Times New Roman" w:hAnsi="Times New Roman"/>
          <w:sz w:val="24"/>
        </w:rPr>
        <w:t>California Power Exchange Corporation</w:t>
        <w:tab/>
        <w:tab/>
        <w:t>)</w:t>
        <w:tab/>
        <w:t>Docket No. ER01-902-000</w:t>
      </w:r>
    </w:p>
    <w:p>
      <w:pPr>
        <w:pStyle w:val="Normal"/>
        <w:widowControl/>
        <w:tabs>
          <w:tab w:val="clear" w:pos="720"/>
          <w:tab w:val="left" w:pos="-1440" w:leader="none"/>
          <w:tab w:val="left" w:pos="-720" w:leader="none"/>
        </w:tabs>
        <w:bidi w:val="0"/>
        <w:jc w:val="start"/>
        <w:rPr>
          <w:sz w:val="24"/>
        </w:rPr>
      </w:pPr>
      <w:r>
        <w:rPr>
          <w:sz w:val="24"/>
        </w:rPr>
        <w:t>___________________________________________</w:t>
        <w:tab/>
        <w:t>)</w:t>
      </w:r>
    </w:p>
    <w:p>
      <w:pPr>
        <w:pStyle w:val="Normal"/>
        <w:widowControl/>
        <w:tabs>
          <w:tab w:val="clear" w:pos="720"/>
          <w:tab w:val="left" w:pos="-1440" w:leader="none"/>
          <w:tab w:val="left" w:pos="-720" w:leader="none"/>
        </w:tabs>
        <w:bidi w:val="0"/>
        <w:jc w:val="start"/>
        <w:rPr>
          <w:sz w:val="24"/>
        </w:rPr>
      </w:pPr>
      <w:r>
        <w:rPr>
          <w:sz w:val="24"/>
        </w:rPr>
      </w:r>
    </w:p>
    <w:p>
      <w:pPr>
        <w:pStyle w:val="Normal"/>
        <w:widowControl/>
        <w:tabs>
          <w:tab w:val="clear" w:pos="720"/>
          <w:tab w:val="left" w:pos="-1440" w:leader="none"/>
          <w:tab w:val="left" w:pos="-720" w:leader="none"/>
        </w:tabs>
        <w:bidi w:val="0"/>
        <w:jc w:val="start"/>
        <w:rPr>
          <w:sz w:val="24"/>
        </w:rPr>
      </w:pPr>
      <w:r>
        <w:rPr>
          <w:sz w:val="24"/>
        </w:rPr>
        <w:tab/>
      </w:r>
    </w:p>
    <w:p>
      <w:pPr>
        <w:pStyle w:val="Normal"/>
        <w:widowControl/>
        <w:tabs>
          <w:tab w:val="clear" w:pos="720"/>
          <w:tab w:val="left" w:pos="-1440" w:leader="none"/>
          <w:tab w:val="left" w:pos="-720" w:leader="none"/>
        </w:tabs>
        <w:bidi w:val="0"/>
        <w:jc w:val="start"/>
        <w:rPr>
          <w:sz w:val="24"/>
        </w:rPr>
      </w:pPr>
      <w:r>
        <w:rPr>
          <w:sz w:val="24"/>
        </w:rPr>
      </w:r>
    </w:p>
    <w:p>
      <w:pPr>
        <w:pStyle w:val="Normal"/>
        <w:widowControl/>
        <w:tabs>
          <w:tab w:val="clear" w:pos="720"/>
          <w:tab w:val="left" w:pos="-1440" w:leader="none"/>
          <w:tab w:val="left" w:pos="-720" w:leader="none"/>
        </w:tabs>
        <w:bidi w:val="0"/>
        <w:jc w:val="center"/>
        <w:rPr>
          <w:rFonts w:ascii="Times New Roman" w:hAnsi="Times New Roman"/>
          <w:b/>
          <w:sz w:val="26"/>
        </w:rPr>
      </w:pPr>
      <w:r>
        <w:rPr>
          <w:rFonts w:ascii="Times New Roman" w:hAnsi="Times New Roman"/>
          <w:b/>
          <w:sz w:val="26"/>
        </w:rPr>
        <w:t>ANSWER IN OPPOSITION</w:t>
      </w:r>
      <w:r>
        <w:rPr>
          <w:b/>
          <w:sz w:val="26"/>
        </w:rPr>
        <w:t xml:space="preserve"> OF </w:t>
      </w:r>
      <w:r>
        <w:rPr>
          <w:rFonts w:ascii="Times New Roman" w:hAnsi="Times New Roman"/>
          <w:b/>
          <w:sz w:val="26"/>
        </w:rPr>
        <w:t xml:space="preserve">CORAL POWER, L.L.C., </w:t>
      </w:r>
    </w:p>
    <w:p>
      <w:pPr>
        <w:pStyle w:val="Normal"/>
        <w:widowControl/>
        <w:tabs>
          <w:tab w:val="clear" w:pos="720"/>
          <w:tab w:val="left" w:pos="-1440" w:leader="none"/>
          <w:tab w:val="left" w:pos="-720" w:leader="none"/>
        </w:tabs>
        <w:bidi w:val="0"/>
        <w:jc w:val="center"/>
        <w:rPr>
          <w:rFonts w:ascii="Times New Roman" w:hAnsi="Times New Roman"/>
          <w:b/>
          <w:sz w:val="26"/>
        </w:rPr>
      </w:pPr>
      <w:r>
        <w:rPr>
          <w:rFonts w:ascii="Times New Roman" w:hAnsi="Times New Roman"/>
          <w:b/>
          <w:sz w:val="26"/>
        </w:rPr>
        <w:t xml:space="preserve">ENRON POWER MARKETING, INC., </w:t>
      </w:r>
    </w:p>
    <w:p>
      <w:pPr>
        <w:pStyle w:val="Normal"/>
        <w:widowControl/>
        <w:tabs>
          <w:tab w:val="clear" w:pos="720"/>
          <w:tab w:val="left" w:pos="-1440" w:leader="none"/>
          <w:tab w:val="left" w:pos="-720" w:leader="none"/>
        </w:tabs>
        <w:bidi w:val="0"/>
        <w:jc w:val="center"/>
        <w:rPr>
          <w:rFonts w:ascii="Times New Roman" w:hAnsi="Times New Roman"/>
          <w:b/>
          <w:sz w:val="26"/>
        </w:rPr>
      </w:pPr>
      <w:r>
        <w:rPr>
          <w:rFonts w:ascii="Times New Roman" w:hAnsi="Times New Roman"/>
          <w:b/>
          <w:sz w:val="26"/>
        </w:rPr>
        <w:t xml:space="preserve">ARIZONA PUBLIC SERVICE COMPANY, </w:t>
      </w:r>
    </w:p>
    <w:p>
      <w:pPr>
        <w:pStyle w:val="Normal"/>
        <w:widowControl/>
        <w:tabs>
          <w:tab w:val="clear" w:pos="720"/>
          <w:tab w:val="left" w:pos="-1440" w:leader="none"/>
          <w:tab w:val="left" w:pos="-720" w:leader="none"/>
        </w:tabs>
        <w:bidi w:val="0"/>
        <w:jc w:val="center"/>
        <w:rPr>
          <w:rFonts w:ascii="Times New Roman" w:hAnsi="Times New Roman"/>
          <w:b/>
          <w:sz w:val="26"/>
        </w:rPr>
      </w:pPr>
      <w:r>
        <w:rPr>
          <w:rFonts w:ascii="Times New Roman" w:hAnsi="Times New Roman"/>
          <w:b/>
          <w:sz w:val="26"/>
        </w:rPr>
        <w:t>SAN DIEGO GAS &amp; ELECTRIC COMPANY,</w:t>
      </w:r>
    </w:p>
    <w:p>
      <w:pPr>
        <w:pStyle w:val="Normal"/>
        <w:widowControl/>
        <w:tabs>
          <w:tab w:val="clear" w:pos="720"/>
          <w:tab w:val="left" w:pos="-1440" w:leader="none"/>
          <w:tab w:val="left" w:pos="-720" w:leader="none"/>
        </w:tabs>
        <w:bidi w:val="0"/>
        <w:jc w:val="center"/>
        <w:rPr>
          <w:rFonts w:ascii="Times New Roman" w:hAnsi="Times New Roman"/>
          <w:b/>
          <w:sz w:val="26"/>
        </w:rPr>
      </w:pPr>
      <w:r>
        <w:rPr>
          <w:rFonts w:ascii="Times New Roman" w:hAnsi="Times New Roman"/>
          <w:b/>
          <w:sz w:val="26"/>
        </w:rPr>
        <w:t>AVISTA ENERGY, INC., PACIFICORP,    AND</w:t>
      </w:r>
    </w:p>
    <w:p>
      <w:pPr>
        <w:pStyle w:val="Heading4"/>
        <w:bidi w:val="0"/>
        <w:rPr>
          <w:rFonts w:ascii="Times New" w:hAnsi="Times New"/>
          <w:sz w:val="24"/>
        </w:rPr>
      </w:pPr>
      <w:r>
        <w:rPr/>
        <w:t>CONSTELLATION POWER SOURCE</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sz w:val="24"/>
        </w:rPr>
        <w:tab/>
      </w:r>
      <w:r>
        <w:rPr>
          <w:rFonts w:ascii="Times New Roman" w:hAnsi="Times New Roman"/>
          <w:sz w:val="24"/>
        </w:rPr>
        <w:t>Pursuant to 18 C.F.R. §385.213(a)(3)(2000), intervenors Coral Power, L.L.C. ("Coral"), Enron Power Marketing, Inc. ("EPMI"), Arizona Public Service Company ("APS"), San Diego Gas &amp; Electric Company ("SDG&amp;E"), Avista Energy, Inc. ("Avista"), PacifiCorp, and Constellation Power Source ("CPS"), (collectively "Intervenors"), all of whom are participants in the markets administered by the California Power Exchange Corporation ("CalPX") and are complainants in Docket No. EL01-36-000, hereby file this answer in opposition to CalPX's February 26, 2001, "Request for Expedited Clarification Or, Alternatively, Request for Rehearing" ("Clarification Request") of the Commission's February 14, 2001, Order issued in the above-captioned docket.</w:t>
      </w:r>
      <w:r>
        <w:rPr>
          <w:rStyle w:val="FootnoteReference"/>
          <w:rFonts w:ascii="Times New Roman" w:hAnsi="Times New Roman"/>
          <w:sz w:val="24"/>
        </w:rPr>
        <w:footnoteReference w:id="2"/>
      </w:r>
      <w:r>
        <w:rPr>
          <w:rFonts w:ascii="Times New Roman" w:hAnsi="Times New Roman"/>
          <w:sz w:val="24"/>
        </w:rPr>
        <w:t xml:space="preserve"> </w:t>
      </w:r>
      <w:r>
        <w:rPr>
          <w:rFonts w:ascii="Times New Roman" w:hAnsi="Times New Roman"/>
          <w:i/>
          <w:sz w:val="24"/>
        </w:rPr>
        <w:t>California Independent System Operator Corp.</w:t>
      </w:r>
      <w:r>
        <w:rPr>
          <w:rFonts w:ascii="Times New Roman" w:hAnsi="Times New Roman"/>
          <w:sz w:val="24"/>
        </w:rPr>
        <w:t>, 94 F.E.R.C. ¶ 61,132 (2001)("February 14 Order").    In support, Intervenors state:</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jc w:val="center"/>
        <w:rPr>
          <w:rFonts w:ascii="Times New Roman" w:hAnsi="Times New Roman"/>
          <w:b/>
          <w:sz w:val="24"/>
        </w:rPr>
      </w:pPr>
      <w:r>
        <w:rPr>
          <w:rFonts w:ascii="Times New Roman" w:hAnsi="Times New Roman"/>
          <w:b/>
          <w:sz w:val="24"/>
        </w:rPr>
        <w:t>I.</w:t>
      </w:r>
    </w:p>
    <w:p>
      <w:pPr>
        <w:pStyle w:val="Normal"/>
        <w:widowControl/>
        <w:tabs>
          <w:tab w:val="clear" w:pos="720"/>
          <w:tab w:val="left" w:pos="-1440" w:leader="none"/>
          <w:tab w:val="left" w:pos="-720" w:leader="none"/>
        </w:tabs>
        <w:bidi w:val="0"/>
        <w:jc w:val="center"/>
        <w:rPr>
          <w:rFonts w:ascii="Times New Roman" w:hAnsi="Times New Roman"/>
          <w:sz w:val="24"/>
        </w:rPr>
      </w:pPr>
      <w:r>
        <w:rPr>
          <w:rFonts w:ascii="Times New Roman" w:hAnsi="Times New Roman"/>
          <w:b/>
          <w:sz w:val="24"/>
        </w:rPr>
        <w:t>BACKGROUND</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The instant matter concerns CalPX's request for expedited clarification of the Commission's February 14 Order in which the Commission rejected CalPX's proposal in Amendment No. 22 to relax the creditworthiness requirements of its tariff in order to enable Southern California Edison Company ("SCE") and Pacific Gas and Electric Company ("PG&amp;E") to continue to participate in CalPX markets, even though neither had the resources to do so.    CalPX requests a Commission determination that it acted reasonably in permitting PG&amp;E and SCE to make purchases in the Day-Ahead, Day-Of, and Real-Time markets, as well as the CTS market, between January 5, 2001 and January 18, 2001, the date SCE and PG&amp;E were suspended from trading.    In support of this request, CalPX argues that the Commission partially accepted the California Independent System Operator Corp.'s ("CAISO") Amendment No. 36 relaxing its creditworthiness standards for certain SCE and PG&amp;E schedules, and asserts that the Commission acted inconsistently in not allowing CalPX to do the same.</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The Commission should deny CalPX's request.    In the February 14 Order, the Commission explicitly distinguished its partial approval of the CAISO Amendment No.36 from its outright rejection of CalPX's Amendment No. 22.    As the Commission explained, the partial acceptance of the CAISO's Amendment applied only to sales from SCE's and PG&amp;E's own generation; it did not pertain to sales by third-parties, as here.    Because the Commission refused in that order to accept CalPX's (and CAISO's) credit requirements where third-parties are the sellers, CalPX's request that the Commission absolve it of its unilateral and negligent decision to waive the creditworthiness standards of its tariff here – which by definition applies solely to third-party sellers – must be rejected. That waiver allowed SCE's and PG&amp;E's continued participation in the California power markets to the detriment of all remaining CalPX Participants.    Finally, as a matter of law, the Commission cannot, in any event, grant the relief that the CalPX seeks, because the Commission was prohibited, under the filed rate doctrine, from "waiving," or otherwise lessening, the credit requirements of its tariff in the first instance.</w:t>
      </w:r>
    </w:p>
    <w:p>
      <w:pPr>
        <w:pStyle w:val="Normal"/>
        <w:widowControl/>
        <w:tabs>
          <w:tab w:val="clear" w:pos="720"/>
          <w:tab w:val="left" w:pos="-1440" w:leader="none"/>
          <w:tab w:val="left" w:pos="-720" w:leader="none"/>
        </w:tabs>
        <w:bidi w:val="0"/>
        <w:spacing w:lineRule="atLeast" w:line="48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footnotePr>
            <w:numFmt w:val="decimal"/>
            <w:numRestart w:val="eachSect"/>
          </w:footnotePr>
          <w:type w:val="nextPage"/>
          <w:pgSz w:w="12240" w:h="15840"/>
          <w:pgMar w:left="1440" w:right="1440" w:gutter="0" w:header="0" w:top="1440" w:footer="720" w:bottom="864"/>
          <w:pgNumType w:fmt="decimal"/>
          <w:formProt w:val="false"/>
          <w:titlePg/>
          <w:textDirection w:val="lrTb"/>
          <w:docGrid w:type="default" w:linePitch="600" w:charSpace="40960"/>
        </w:sectPr>
      </w:pPr>
    </w:p>
    <w:p>
      <w:pPr>
        <w:pStyle w:val="2AutoList1"/>
        <w:widowControl/>
        <w:numPr>
          <w:ilvl w:val="1"/>
          <w:numId w:val="1"/>
        </w:numPr>
        <w:tabs>
          <w:tab w:val="clear" w:pos="720"/>
          <w:tab w:val="clear" w:pos="1440"/>
          <w:tab w:val="left" w:pos="-1440" w:leader="none"/>
          <w:tab w:val="left" w:pos="-720" w:leader="none"/>
        </w:tabs>
        <w:bidi w:val="0"/>
        <w:rPr>
          <w:rFonts w:ascii="Times New Roman" w:hAnsi="Times New Roman"/>
        </w:rPr>
      </w:pPr>
      <w:r>
        <w:rPr>
          <w:rFonts w:ascii="Times New Roman" w:hAnsi="Times New Roman"/>
          <w:b/>
          <w:i/>
        </w:rPr>
        <w:t>CalPX Is Wrong in Its Contention that the Commission Acted Inconsistently When It Partially Approved    CAISO's Amendment, But Rejected CalPX's Amendment</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ab/>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 xml:space="preserve"> In the February 14 Order, the Commission partially approved CAISO's Amendment No. 36 relaxing its creditworthiness standards for certain SCE and PG&amp;E schedules and commended the CAISO for "striving to meet its primary obligation, ensuring system reliability, during times of severe electrical supply and financial instability in the California market."    94 F.E.R.C. at 61,510.    CalPX now asks that the Commission "make a </w:t>
      </w:r>
      <w:r>
        <w:rPr>
          <w:rFonts w:ascii="Times New Roman" w:hAnsi="Times New Roman"/>
          <w:i/>
          <w:sz w:val="24"/>
        </w:rPr>
        <w:t>similar accommodation</w:t>
      </w:r>
      <w:r>
        <w:rPr>
          <w:rFonts w:ascii="Times New Roman" w:hAnsi="Times New Roman"/>
          <w:sz w:val="24"/>
        </w:rPr>
        <w:t xml:space="preserve"> by clarifying that CalPX was reasonable in allowing SCE and PG&amp;E to purchase power in the [CalPX] Core Markets from January 5 through January 18, when their trading rights were suspended . . . ."    </w:t>
      </w:r>
      <w:r>
        <w:rPr>
          <w:rFonts w:ascii="Times New Roman" w:hAnsi="Times New Roman"/>
          <w:i/>
          <w:sz w:val="24"/>
        </w:rPr>
        <w:t xml:space="preserve">Clarification Request </w:t>
      </w:r>
      <w:r>
        <w:rPr>
          <w:rFonts w:ascii="Times New Roman" w:hAnsi="Times New Roman"/>
          <w:sz w:val="24"/>
        </w:rPr>
        <w:t>at 8 (emphasis added)</w:t>
      </w:r>
      <w:r>
        <w:rPr>
          <w:rFonts w:ascii="Times New Roman" w:hAnsi="Times New Roman"/>
          <w:i/>
          <w:sz w:val="24"/>
        </w:rPr>
        <w:t>.</w:t>
      </w:r>
    </w:p>
    <w:p>
      <w:pPr>
        <w:pStyle w:val="1Kathy"/>
        <w:widowControl/>
        <w:tabs>
          <w:tab w:val="clear" w:pos="720"/>
          <w:tab w:val="left" w:pos="-1440" w:leader="none"/>
          <w:tab w:val="left" w:pos="-720" w:leader="none"/>
        </w:tabs>
        <w:bidi w:val="0"/>
        <w:spacing w:lineRule="atLeast" w:line="480"/>
        <w:jc w:val="both"/>
        <w:rPr>
          <w:rFonts w:ascii="Times New Roman" w:hAnsi="Times New Roman"/>
        </w:rPr>
      </w:pPr>
      <w:r>
        <w:rPr>
          <w:rFonts w:ascii="Times New Roman" w:hAnsi="Times New Roman"/>
        </w:rPr>
        <w:tab/>
        <w:t>No "similar accommodation" can or should be made because there is no similarity between the the creditworthiness that the Commission allowed to be relaxed for CAISO, but rejected for CalPX.    In the February 14 order, the Commission clearly distinguished the CAISO tariff amendment that it accepted in part, from the CalPX tariff amendment that it rejected.    The Commission accepted the CAISO amendment, but the only to the extent it pertained to electricity produced by the utilities from their own resources that they delivered using their own transmission facilities.    Consistent with its rejection of the CalPX amendment, the Commission rejected the CAISO amendment to the extent it applied to electricity that the utilities purchase rather than generate themselves:</w:t>
      </w:r>
    </w:p>
    <w:p>
      <w:pPr>
        <w:pStyle w:val="Normal"/>
        <w:widowControl/>
        <w:tabs>
          <w:tab w:val="clear" w:pos="720"/>
          <w:tab w:val="left" w:pos="-1440" w:leader="none"/>
          <w:tab w:val="left" w:pos="-720" w:leader="none"/>
        </w:tabs>
        <w:bidi w:val="0"/>
        <w:spacing w:lineRule="atLeast" w:line="48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ind w:hanging="0" w:start="1152" w:end="1152"/>
        <w:jc w:val="both"/>
        <w:rPr>
          <w:rFonts w:ascii="Times New Roman" w:hAnsi="Times New Roman"/>
          <w:sz w:val="24"/>
        </w:rPr>
      </w:pPr>
      <w:r>
        <w:rPr>
          <w:rFonts w:ascii="Times New Roman" w:hAnsi="Times New Roman"/>
          <w:sz w:val="24"/>
        </w:rPr>
        <w:t xml:space="preserve">We believe that to the extent [the CAISO tariff amendment] allows SoCal Edison and PG&amp;E to continue to deliver their own resources and access their own transmission facilities to serve their own load, the [CAISO's] amendment is reasonable and necessary for maintaining the reliability of the ISO grid. . . . [W]e will accept Amendment No. 36 and find good cause to grant a limited waiver of our notice requirements but </w:t>
      </w:r>
      <w:r>
        <w:rPr>
          <w:rFonts w:ascii="Times New Roman" w:hAnsi="Times New Roman"/>
          <w:i/>
          <w:sz w:val="24"/>
        </w:rPr>
        <w:t>only to the extent the Amendment applies to SoCal Edison's and PG&amp;E's ability to access their own transmission facilities to deliver resources to their own load</w:t>
      </w:r>
      <w:r>
        <w:rPr>
          <w:rFonts w:ascii="Times New Roman" w:hAnsi="Times New Roman"/>
          <w:sz w:val="24"/>
        </w:rPr>
        <w:t>.</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94 F.E.R.C. at 61,510 (emphasis added).    In effect, the Commission treated SCE and PG&amp;E as dealing with themselves when the generation is from their own resources.    Thus, when they default with regard to deliveries from their own resources that use their own transmission facilities, they are in essence defaulting on obligations to themselves.    No third-party is financially harmed and the Commission saw no harm to the market in relaxing the credit standard in these limited circumstances.</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 xml:space="preserve">By contrast, when the generation is from a third-party, the creditors would indeed be harmed through a relaxation of the credit standard, which is precisely what has occurred.    With respect to third-party suppliers, the creditworthiness rules of CAISO and CalPX were treated identically: with respect to both, neither utility was permitted to escape the strict creditworthiness rules: "[W]e will deny the ISO's </w:t>
      </w:r>
      <w:r>
        <w:rPr>
          <w:rFonts w:ascii="Times New Roman" w:hAnsi="Times New Roman"/>
          <w:i/>
          <w:sz w:val="24"/>
        </w:rPr>
        <w:t>and</w:t>
      </w:r>
      <w:r>
        <w:rPr>
          <w:rFonts w:ascii="Times New Roman" w:hAnsi="Times New Roman"/>
          <w:sz w:val="24"/>
        </w:rPr>
        <w:t xml:space="preserve"> PX's proposals to relax creditworthiness standards to the extent they affect third-party suppliers."    </w:t>
      </w:r>
      <w:r>
        <w:rPr>
          <w:rFonts w:ascii="Times New Roman" w:hAnsi="Times New Roman"/>
          <w:i/>
          <w:sz w:val="24"/>
        </w:rPr>
        <w:t>Id.</w:t>
      </w:r>
      <w:r>
        <w:rPr>
          <w:rFonts w:ascii="Times New Roman" w:hAnsi="Times New Roman"/>
          <w:sz w:val="24"/>
        </w:rPr>
        <w:t xml:space="preserve"> (emphasis added).    Thus, there is no basis for CalPX's proposal that the Commission now equate CAISO's lessening of the utilities' credit obligations to themselves with CalPX's lessening of their credit obligations to third-parties.      Indeed, if parallel treatment is to be the hallmark, then the Commission must deny CalPX's request for clarification in order to maintain the symmetrical treatment that the Commission achieved in the February 14 Order with regard to purchases from third-parties.</w:t>
      </w:r>
      <w:r>
        <w:rPr>
          <w:rStyle w:val="FootnoteReference"/>
          <w:rFonts w:ascii="Times New Roman" w:hAnsi="Times New Roman"/>
          <w:sz w:val="24"/>
        </w:rPr>
        <w:footnoteReference w:id="3"/>
      </w:r>
    </w:p>
    <w:p>
      <w:pPr>
        <w:pStyle w:val="Normal"/>
        <w:widowControl/>
        <w:tabs>
          <w:tab w:val="clear" w:pos="720"/>
          <w:tab w:val="left" w:pos="-1440" w:leader="none"/>
          <w:tab w:val="left" w:pos="-720" w:leader="none"/>
        </w:tabs>
        <w:bidi w:val="0"/>
        <w:spacing w:lineRule="atLeast" w:line="48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ind w:hanging="1152" w:start="1152"/>
        <w:jc w:val="start"/>
        <w:rPr>
          <w:rFonts w:ascii="Times New Roman" w:hAnsi="Times New Roman"/>
          <w:sz w:val="24"/>
        </w:rPr>
      </w:pPr>
      <w:r>
        <w:rPr>
          <w:rFonts w:ascii="Times New Roman" w:hAnsi="Times New Roman"/>
          <w:sz w:val="24"/>
        </w:rPr>
        <w:tab/>
      </w:r>
      <w:r>
        <w:rPr>
          <w:rFonts w:ascii="Times New Roman" w:hAnsi="Times New Roman"/>
          <w:b/>
          <w:i/>
          <w:sz w:val="24"/>
        </w:rPr>
        <w:t>B.</w:t>
        <w:tab/>
        <w:t>The CalPX Should Not Be Absolved of the Harms that Its Unilateral Waiver Has Caused to Third-Party Suppliers</w:t>
      </w:r>
    </w:p>
    <w:p>
      <w:pPr>
        <w:pStyle w:val="Normal"/>
        <w:widowContro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 xml:space="preserve">The CalPX Tariff, accepted and approved by the Commission, was explicitly written to protect the financial interests of the CalPX participants.    Section 1.7 of Schedule 2 of the CalPX Tariff requires the CalPX annually to review a Participant's credit "score."    Under Section 1.5 of Schedule 2, should a Participant fall below minimum investment grade status, it is required to post 100 percent collateral for its outstanding positions in the CalPX Core Market.    Section 2.4 provides that, "if collateral is not posted by the deadline and corrective action is not taken, the PX shall have the right to immediately exercise any remedies available to it, including suspending PX participation and drawing on the PX Participant's collateral."    Section 1.9 provides the CalPX with plenary authority to "take any action necessary to protect the PX and its Participants from potential loss" should it "determine[] that there is a strong likelihood that any Participant may become insolvent . . . ." </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tab/>
        <w:t>Had CalPX adhered to these provisions, it would have enforced the terms of its tariff and (1) denied SCE's and PG&amp;E's participation in its markets on or about January 5, 2001, and thereafter, or (2) required SCE and PG&amp;E to post collateral. Rather than follow the credit requirements of its tariff, however, CalPX took the exact opposite course and waived unilaterally, without Commission approval, the credit provisions of its tariff.    The Commission recognized the harmful effect of CalPX's    waiver on CalPX participants, and rejected Amendment No. 22, finding that it would shift "unacceptable financial risks to both large and small third-party suppliers." 94 F.E.R.C</w:t>
      </w:r>
      <w:r>
        <w:rPr>
          <w:rFonts w:ascii="Times New Roman" w:hAnsi="Times New Roman"/>
          <w:i/>
          <w:sz w:val="24"/>
        </w:rPr>
        <w:t xml:space="preserve"> </w:t>
      </w:r>
      <w:r>
        <w:rPr>
          <w:rFonts w:ascii="Times New Roman" w:hAnsi="Times New Roman"/>
          <w:sz w:val="24"/>
        </w:rPr>
        <w:t>at 61,510.    Not surprisingly, CalPX's unilateral waiver of its tariff's credit standards had precisely that effect.    It now threatens the financial interests of other CalPX Participants, since it has allowed the defaulting utilities to continue to purchase power that they could not and did not intend to pay for. Indeed, the very suppliers who have not been paid are now threatened by CalPX to be subject to "chargebacks" of SCE's and PG&amp;E's defaults that CalPX made possible.    CalPX's waiver of the credit standards, without receiving adequate assurance of payment by SCE and PG&amp;E,    amounts to an unauthorized taking of the Intervenors' power, and constitutes a breach of its fiduciary duty to market participants, for which CalPX is responsible under Section 14.1 of its tariff.</w:t>
      </w:r>
    </w:p>
    <w:p>
      <w:pPr>
        <w:pStyle w:val="1Technical"/>
        <w:widowControl/>
        <w:tabs>
          <w:tab w:val="clear" w:pos="720"/>
          <w:tab w:val="left" w:pos="-1440" w:leader="none"/>
          <w:tab w:val="left" w:pos="-720" w:leader="none"/>
        </w:tabs>
        <w:bidi w:val="0"/>
        <w:spacing w:lineRule="atLeast" w:line="480"/>
        <w:rPr>
          <w:rFonts w:ascii="Times New Roman" w:hAnsi="Times New Roman"/>
        </w:rPr>
      </w:pPr>
      <w:r>
        <w:rPr>
          <w:rFonts w:ascii="Times New Roman" w:hAnsi="Times New Roman"/>
        </w:rPr>
        <w:tab/>
        <w:t xml:space="preserve">In apparent recognition that its unilateral waiver has harmed CalPX Participants, CalPX now seeks absolution from the Commission.      The Commission must reject this request.    CalPX cannot be relieved of the consequences of its failure to comply with the obligations under its tariff to protect the financial interests its participants. </w:t>
      </w:r>
    </w:p>
    <w:p>
      <w:pPr>
        <w:pStyle w:val="Normal"/>
        <w:widowControl/>
        <w:tabs>
          <w:tab w:val="clear" w:pos="720"/>
          <w:tab w:val="left" w:pos="-1440" w:leader="none"/>
          <w:tab w:val="left" w:pos="-72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clear" w:pos="720"/>
          <w:tab w:val="left" w:pos="-1440" w:leader="none"/>
          <w:tab w:val="left" w:pos="-720" w:leader="none"/>
        </w:tabs>
        <w:bidi w:val="0"/>
        <w:ind w:hanging="1152" w:start="1152"/>
        <w:jc w:val="both"/>
        <w:rPr>
          <w:rFonts w:ascii="Times New Roman" w:hAnsi="Times New Roman"/>
          <w:sz w:val="24"/>
        </w:rPr>
      </w:pPr>
      <w:r>
        <w:rPr>
          <w:rFonts w:ascii="Times New Roman" w:hAnsi="Times New Roman"/>
          <w:sz w:val="24"/>
        </w:rPr>
        <w:tab/>
      </w:r>
      <w:r>
        <w:rPr>
          <w:rFonts w:ascii="Times New Roman" w:hAnsi="Times New Roman"/>
          <w:b/>
          <w:i/>
          <w:sz w:val="24"/>
        </w:rPr>
        <w:t>C.</w:t>
        <w:tab/>
        <w:t>CalPX Impermissibly Requests that the Commission Waive the Filed Rate Doctrine</w:t>
      </w:r>
    </w:p>
    <w:p>
      <w:pPr>
        <w:pStyle w:val="Normal"/>
        <w:widowControl/>
        <w:tabs>
          <w:tab w:val="clear" w:pos="720"/>
          <w:tab w:val="left" w:pos="-1440" w:leader="none"/>
          <w:tab w:val="left" w:pos="-720" w:leader="none"/>
        </w:tabs>
        <w:bidi w:val="0"/>
        <w:jc w:val="both"/>
        <w:rPr>
          <w:rFonts w:ascii="Times New Roman" w:hAnsi="Times New Roman"/>
          <w:sz w:val="24"/>
        </w:rPr>
      </w:pPr>
      <w:r>
        <w:rPr>
          <w:rFonts w:ascii="Times New Roman" w:hAnsi="Times New Roman"/>
          <w:sz w:val="24"/>
        </w:rPr>
      </w:r>
    </w:p>
    <w:p>
      <w:pPr>
        <w:pStyle w:val="1Technical"/>
        <w:widowControl/>
        <w:tabs>
          <w:tab w:val="clear" w:pos="720"/>
          <w:tab w:val="left" w:pos="-1440" w:leader="none"/>
          <w:tab w:val="left" w:pos="-720" w:leader="none"/>
        </w:tabs>
        <w:bidi w:val="0"/>
        <w:spacing w:lineRule="atLeast" w:line="480"/>
        <w:rPr>
          <w:rFonts w:ascii="Times New Roman" w:hAnsi="Times New Roman"/>
        </w:rPr>
      </w:pPr>
      <w:r>
        <w:rPr>
          <w:rFonts w:ascii="Times New Roman" w:hAnsi="Times New Roman"/>
        </w:rPr>
        <w:tab/>
        <w:t xml:space="preserve">The CalPX violated its tariff on file with the Commission when it unilaterally "waived" the    creditworthiness provisions of its tariff and implemented lower credit standards for SCE and PG&amp;E beginning January 5, 2001.    In order to grant the relief that the CalPX seeks — a Commission finding that it acted reasonably in unilaterally waiving its creditworthiness standards — the Commission would have to waive the filed rate doctrine, which the Commission lacks authority to do.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rFonts w:ascii="Times New Roman" w:hAnsi="Times New Roman"/>
          <w:sz w:val="24"/>
        </w:rPr>
      </w:pPr>
      <w:r>
        <w:rPr>
          <w:rFonts w:ascii="Times New Roman" w:hAnsi="Times New Roman"/>
          <w:sz w:val="24"/>
        </w:rPr>
        <w:tab/>
        <w:t xml:space="preserve">The filed rate doctrine "forbids a regulated entity [from] charg[ing] rates for its services other than those properly filed with the appropriate regulatory authority." </w:t>
      </w:r>
      <w:r>
        <w:rPr>
          <w:rFonts w:ascii="Times New Roman" w:hAnsi="Times New Roman"/>
          <w:i/>
          <w:sz w:val="24"/>
        </w:rPr>
        <w:t>Arkansas Louisiana Gas Co. v. Hall</w:t>
      </w:r>
      <w:r>
        <w:rPr>
          <w:rFonts w:ascii="Times New Roman" w:hAnsi="Times New Roman"/>
          <w:sz w:val="24"/>
        </w:rPr>
        <w:t xml:space="preserve">, 453 U.S. 571, 577 (1981). </w:t>
      </w:r>
      <w:r>
        <w:rPr>
          <w:rFonts w:ascii="Times New Roman" w:hAnsi="Times New Roman"/>
          <w:i/>
          <w:sz w:val="24"/>
        </w:rPr>
        <w:t xml:space="preserve"> </w:t>
      </w:r>
      <w:r>
        <w:rPr>
          <w:rFonts w:ascii="Times New Roman" w:hAnsi="Times New Roman"/>
          <w:sz w:val="24"/>
        </w:rPr>
        <w:t xml:space="preserve">The filed rate doctrine is applicable here since it extends to non-rate terms of a tariff,    such as the creditworthiness provisions at issue in this proceeding, as well as to rate terms.    </w:t>
      </w:r>
      <w:r>
        <w:rPr>
          <w:rFonts w:ascii="Times New Roman" w:hAnsi="Times New Roman"/>
          <w:i/>
          <w:sz w:val="24"/>
        </w:rPr>
        <w:t>See, e.g., Nahantala Power and Light v. Thornburg</w:t>
      </w:r>
      <w:r>
        <w:rPr>
          <w:rFonts w:ascii="Times New Roman" w:hAnsi="Times New Roman"/>
          <w:sz w:val="24"/>
        </w:rPr>
        <w:t xml:space="preserve">, 476 U.S. 953, 966-67 (1986)("the filed rate doctrine is not limited to 'rates' </w:t>
      </w:r>
      <w:r>
        <w:rPr>
          <w:rFonts w:ascii="Times New Roman" w:hAnsi="Times New Roman"/>
          <w:i/>
          <w:sz w:val="24"/>
        </w:rPr>
        <w:t>per se</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Although the filed rate doctrine may be waived by parties, this waiver authority is not applicable to the Commission. </w:t>
      </w:r>
      <w:r>
        <w:rPr>
          <w:rFonts w:ascii="Times New Roman" w:hAnsi="Times New Roman"/>
          <w:i/>
          <w:sz w:val="24"/>
        </w:rPr>
        <w:t xml:space="preserve"> See Columbia Gas Transmission Corp. v. FERC</w:t>
      </w:r>
      <w:r>
        <w:rPr>
          <w:rFonts w:ascii="Times New Roman" w:hAnsi="Times New Roman"/>
          <w:sz w:val="24"/>
        </w:rPr>
        <w:t>, 895 F.2d 791, 795-96 (D.C. Cir. 1990) (statutory language of the Natural Gas Act prohibits Commission waiver of the filed rate doctrine).    The Commission has no discretion on this matter. As a result, even if the Commission were otherwise inclined to grant CalPX's requested clarification, it would be barred as a matter of law from doing so under the filed rate doctrine.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III.</w:t>
      </w:r>
    </w:p>
    <w:p>
      <w:pPr>
        <w:pStyle w:val="Heading5"/>
        <w:bidi w:val="0"/>
        <w:jc w:val="center"/>
        <w:rPr>
          <w:rFonts w:ascii="Times New" w:hAnsi="Times New"/>
        </w:rPr>
      </w:pPr>
      <w:r>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rFonts w:ascii="Times New Roman" w:hAnsi="Times New Roman"/>
          <w:sz w:val="24"/>
        </w:rPr>
      </w:pPr>
      <w:r>
        <w:rPr>
          <w:rFonts w:ascii="Times New Roman" w:hAnsi="Times New Roman"/>
          <w:sz w:val="24"/>
        </w:rPr>
        <w:tab/>
        <w:t xml:space="preserve">Wherefore, Intervenors requests the Commission deny CalPX's February 26, 2001 request for clarification, or the alternative, request for rehearing, in this proceeding.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Respectfully submitted,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ab/>
        <w:tab/>
        <w:tab/>
        <w:tab/>
        <w:tab/>
        <w:tab/>
        <w:tab/>
        <w:t>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Jeffrey D. Watkiss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Ronald N. Carroll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Kimberly A. Curry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Bracewell &amp; Patterson,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 Registered Limited Liability Partnership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2000 K Street, N.W., Suite 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(202) 828-5800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i/>
          <w:i/>
          <w:sz w:val="24"/>
        </w:rPr>
      </w:pPr>
      <w:r>
        <w:rPr>
          <w:rFonts w:ascii="Times New Roman" w:hAnsi="Times New Roman"/>
          <w:sz w:val="24"/>
        </w:rPr>
        <w:tab/>
        <w:tab/>
        <w:tab/>
        <w:tab/>
        <w:tab/>
        <w:tab/>
        <w:tab/>
      </w:r>
      <w:r>
        <w:rPr>
          <w:rFonts w:ascii="Times New Roman" w:hAnsi="Times New Roman"/>
          <w:i/>
          <w:sz w:val="24"/>
        </w:rPr>
        <w:t>Attorneys for 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rPr>
      </w:pPr>
      <w:r>
        <w:rPr>
          <w:rFonts w:ascii="Times New Roman" w:hAnsi="Times New Roman"/>
          <w:i/>
          <w:sz w:val="24"/>
        </w:rPr>
        <w:tab/>
        <w:tab/>
        <w:tab/>
        <w:tab/>
        <w:tab/>
        <w:tab/>
        <w:tab/>
        <w:t>and Coral Power,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______________________________</w:t>
        <w:tab/>
        <w:tab/>
        <w:t>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Gary D. Bachman</w:t>
        <w:tab/>
        <w:tab/>
        <w:tab/>
        <w:tab/>
        <w:tab/>
        <w:t>Timothy F. Bolden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Howard E. Shapiro</w:t>
        <w:tab/>
        <w:tab/>
        <w:tab/>
        <w:tab/>
        <w:tab/>
        <w:t>Pinnacle West Capital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Cheryl Feik Ryan</w:t>
        <w:tab/>
        <w:tab/>
        <w:tab/>
        <w:tab/>
        <w:tab/>
        <w:t>400 North Fifth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Van Ness Feldman, P.C.</w:t>
        <w:tab/>
        <w:tab/>
        <w:tab/>
        <w:tab/>
        <w:t>Phoenix, Arizona 85004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1050 Thomas Jefferson Street, N.W.</w:t>
        <w:tab/>
        <w:tab/>
        <w:tab/>
        <w:t xml:space="preserve">(602) 250-3541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Washington, D.C. 20007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(202) 298-1800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______________________________</w:t>
        <w:tab/>
        <w:tab/>
        <w:t>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Robert H. Loeffler</w:t>
        <w:tab/>
        <w:tab/>
        <w:tab/>
        <w:tab/>
        <w:tab/>
        <w:t>John D. McGrane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Katherine Zeitlin</w:t>
        <w:tab/>
        <w:tab/>
        <w:tab/>
        <w:tab/>
        <w:tab/>
        <w:t>Morgan Lewis &amp; Bockius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Morrison &amp; Foerster</w:t>
        <w:tab/>
        <w:tab/>
        <w:tab/>
        <w:tab/>
        <w:tab/>
        <w:t>1800 M Street,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Suite 5500</w:t>
        <w:tab/>
        <w:tab/>
        <w:tab/>
        <w:tab/>
        <w:tab/>
        <w:tab/>
        <w:t>Washington, DC    20036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sz w:val="24"/>
        </w:rPr>
        <w:t>2000 Pennsylvania N.W.</w:t>
        <w:tab/>
        <w:tab/>
        <w:tab/>
        <w:tab/>
        <w:t>(202) 467-7621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Washington, D.C. 20006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(202)-887-1506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i/>
          <w:i/>
          <w:sz w:val="24"/>
        </w:rPr>
      </w:pPr>
      <w:r>
        <w:rPr>
          <w:rFonts w:ascii="Times New Roman" w:hAnsi="Times New Roman"/>
          <w:i/>
          <w:sz w:val="24"/>
        </w:rPr>
        <w:tab/>
        <w:tab/>
        <w:tab/>
        <w:tab/>
        <w:tab/>
        <w:tab/>
        <w:tab/>
        <w:t>Attorneys for Arizona Public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i/>
          <w:i/>
          <w:sz w:val="24"/>
        </w:rPr>
      </w:pPr>
      <w:r>
        <w:rPr>
          <w:rFonts w:ascii="Times New Roman" w:hAnsi="Times New Roman"/>
          <w:i/>
          <w:sz w:val="24"/>
        </w:rPr>
        <w:t>Attorneys for Avista Energy, Inc.</w:t>
        <w:tab/>
        <w:tab/>
        <w:tab/>
        <w:t>Company</w:t>
      </w:r>
    </w:p>
    <w:tbl>
      <w:tblPr>
        <w:tblW w:w="9576" w:type="dxa"/>
        <w:jc w:val="start"/>
        <w:tblInd w:w="108" w:type="dxa"/>
        <w:tblLayout w:type="fixed"/>
        <w:tblCellMar>
          <w:top w:w="0" w:type="dxa"/>
          <w:start w:w="108" w:type="dxa"/>
          <w:bottom w:w="0" w:type="dxa"/>
          <w:end w:w="108" w:type="dxa"/>
        </w:tblCellMar>
      </w:tblPr>
      <w:tblGrid>
        <w:gridCol w:w="4788"/>
        <w:gridCol w:w="4787"/>
      </w:tblGrid>
      <w:tr>
        <w:trPr>
          <w:trHeight w:val="12578" w:hRule="atLeast"/>
        </w:trPr>
        <w:tc>
          <w:tcPr>
            <w:tcW w:w="4788" w:type="dxa"/>
            <w:tcBorders/>
          </w:tcPr>
          <w:p>
            <w:pPr>
              <w:pStyle w:val="Normal"/>
              <w:widowControl/>
              <w:tabs>
                <w:tab w:val="clear" w:pos="720"/>
              </w:tabs>
              <w:bidi w:val="0"/>
              <w:jc w:val="start"/>
              <w:rPr>
                <w:rFonts w:ascii="Times New Roman" w:hAnsi="Times New Roman"/>
                <w:i/>
                <w:i/>
                <w:sz w:val="24"/>
              </w:rPr>
            </w:pPr>
            <w:r>
              <w:rPr/>
              <w:t>TC "    ______________________________ "</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t>_____________________________</w:t>
            </w:r>
          </w:p>
          <w:p>
            <w:pPr>
              <w:pStyle w:val="Normal"/>
              <w:widowControl/>
              <w:tabs>
                <w:tab w:val="clear" w:pos="720"/>
              </w:tabs>
              <w:bidi w:val="0"/>
              <w:jc w:val="start"/>
              <w:rPr>
                <w:rFonts w:ascii="Times New Roman" w:hAnsi="Times New Roman"/>
                <w:sz w:val="24"/>
              </w:rPr>
            </w:pPr>
            <w:r>
              <w:rPr>
                <w:rFonts w:ascii="Times New Roman" w:hAnsi="Times New Roman"/>
                <w:sz w:val="24"/>
              </w:rPr>
              <w:t>David M. Perlman</w:t>
            </w:r>
          </w:p>
          <w:p>
            <w:pPr>
              <w:pStyle w:val="Normal"/>
              <w:widowControl/>
              <w:tabs>
                <w:tab w:val="clear" w:pos="720"/>
              </w:tabs>
              <w:bidi w:val="0"/>
              <w:jc w:val="start"/>
              <w:rPr>
                <w:rFonts w:ascii="Times New Roman" w:hAnsi="Times New Roman"/>
                <w:sz w:val="24"/>
              </w:rPr>
            </w:pPr>
            <w:r>
              <w:rPr>
                <w:rFonts w:ascii="Times New Roman" w:hAnsi="Times New Roman"/>
                <w:sz w:val="24"/>
              </w:rPr>
              <w:t>General Counsel</w:t>
            </w:r>
          </w:p>
          <w:p>
            <w:pPr>
              <w:pStyle w:val="Normal"/>
              <w:widowControl/>
              <w:tabs>
                <w:tab w:val="clear" w:pos="720"/>
              </w:tabs>
              <w:bidi w:val="0"/>
              <w:jc w:val="start"/>
              <w:rPr>
                <w:rFonts w:ascii="Times New Roman" w:hAnsi="Times New Roman"/>
                <w:sz w:val="24"/>
              </w:rPr>
            </w:pPr>
            <w:r>
              <w:rPr>
                <w:rFonts w:ascii="Times New Roman" w:hAnsi="Times New Roman"/>
                <w:sz w:val="24"/>
              </w:rPr>
              <w:t>Randal D. Osteen</w:t>
            </w:r>
          </w:p>
          <w:p>
            <w:pPr>
              <w:pStyle w:val="Normal"/>
              <w:widowControl/>
              <w:tabs>
                <w:tab w:val="clear" w:pos="720"/>
              </w:tabs>
              <w:bidi w:val="0"/>
              <w:jc w:val="start"/>
              <w:rPr>
                <w:rFonts w:ascii="Times New Roman" w:hAnsi="Times New Roman"/>
                <w:sz w:val="24"/>
              </w:rPr>
            </w:pPr>
            <w:r>
              <w:rPr>
                <w:rFonts w:ascii="Times New Roman" w:hAnsi="Times New Roman"/>
                <w:sz w:val="24"/>
              </w:rPr>
              <w:t>Counsel</w:t>
            </w:r>
          </w:p>
          <w:p>
            <w:pPr>
              <w:pStyle w:val="Normal"/>
              <w:widowControl/>
              <w:tabs>
                <w:tab w:val="clear" w:pos="720"/>
              </w:tabs>
              <w:bidi w:val="0"/>
              <w:jc w:val="start"/>
              <w:rPr>
                <w:rFonts w:ascii="Times New Roman" w:hAnsi="Times New Roman"/>
                <w:sz w:val="24"/>
              </w:rPr>
            </w:pPr>
            <w:r>
              <w:rPr>
                <w:rFonts w:ascii="Times New Roman" w:hAnsi="Times New Roman"/>
                <w:sz w:val="24"/>
              </w:rPr>
              <w:t>Constellation Power Source</w:t>
            </w:r>
          </w:p>
          <w:p>
            <w:pPr>
              <w:pStyle w:val="Normal"/>
              <w:widowControl/>
              <w:tabs>
                <w:tab w:val="clear" w:pos="720"/>
              </w:tabs>
              <w:bidi w:val="0"/>
              <w:jc w:val="start"/>
              <w:rPr>
                <w:rFonts w:ascii="Times New Roman" w:hAnsi="Times New Roman"/>
                <w:sz w:val="24"/>
              </w:rPr>
            </w:pPr>
            <w:r>
              <w:rPr>
                <w:rFonts w:ascii="Times New Roman" w:hAnsi="Times New Roman"/>
                <w:sz w:val="24"/>
              </w:rPr>
              <w:t>111 Market Place</w:t>
            </w:r>
          </w:p>
          <w:p>
            <w:pPr>
              <w:pStyle w:val="Normal"/>
              <w:widowControl/>
              <w:tabs>
                <w:tab w:val="clear" w:pos="720"/>
              </w:tabs>
              <w:bidi w:val="0"/>
              <w:jc w:val="start"/>
              <w:rPr>
                <w:rFonts w:ascii="Times New Roman" w:hAnsi="Times New Roman"/>
                <w:sz w:val="24"/>
              </w:rPr>
            </w:pPr>
            <w:r>
              <w:rPr>
                <w:rFonts w:ascii="Times New Roman" w:hAnsi="Times New Roman"/>
                <w:sz w:val="24"/>
              </w:rPr>
              <w:t>Baltimore, MD    21202</w:t>
            </w:r>
          </w:p>
          <w:p>
            <w:pPr>
              <w:pStyle w:val="Normal"/>
              <w:widowControl/>
              <w:tabs>
                <w:tab w:val="clear" w:pos="720"/>
              </w:tabs>
              <w:bidi w:val="0"/>
              <w:jc w:val="start"/>
              <w:rPr>
                <w:rFonts w:ascii="Times New Roman" w:hAnsi="Times New Roman"/>
                <w:sz w:val="24"/>
              </w:rPr>
            </w:pPr>
            <w:r>
              <w:rPr>
                <w:rFonts w:ascii="Times New Roman" w:hAnsi="Times New Roman"/>
                <w:sz w:val="24"/>
              </w:rPr>
              <w:t>(410) 468-3490</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i/>
                <w:sz w:val="24"/>
              </w:rPr>
              <w:t>Attorneys for Constellation Power Source</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tc>
        <w:tc>
          <w:tcPr>
            <w:tcW w:w="4787"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______________________________</w:t>
            </w:r>
            <w:r>
              <w:rPr>
                <w:rFonts w:ascii="Times New Roman" w:hAnsi="Times New Roman"/>
                <w:b/>
                <w:sz w:val="24"/>
              </w:rPr>
              <w:t xml:space="preserve"> </w:t>
            </w:r>
            <w:r>
              <w:fldChar w:fldCharType="begin"/>
            </w:r>
            <w:r>
              <w:rPr>
                <w:sz w:val="24"/>
                <w:b/>
                <w:rFonts w:ascii="Times New Roman" w:hAnsi="Times New Roman"/>
              </w:rPr>
            </w:r>
            <w:r>
              <w:rPr>
                <w:rFonts w:ascii="Times New Roman" w:hAnsi="Times New Roman"/>
                <w:b/>
                <w:sz w:val="24"/>
              </w:rPr>
            </w:r>
            <w:r>
              <w:rPr>
                <w:sz w:val="24"/>
                <w:b/>
                <w:rFonts w:ascii="Times New Roman" w:hAnsi="Times New Roman"/>
              </w:rPr>
              <w:fldChar w:fldCharType="separate"/>
            </w:r>
            <w:r>
              <w:rPr>
                <w:rFonts w:ascii="Times New Roman" w:hAnsi="Times New Roman"/>
                <w:b/>
                <w:sz w:val="24"/>
              </w:rPr>
            </w:r>
            <w:r/>
            <w:r>
              <w:rPr>
                <w:sz w:val="24"/>
                <w:b/>
                <w:rFonts w:ascii="Times New Roman" w:hAnsi="Times New Roman"/>
              </w:rPr>
              <w:fldChar w:fldCharType="end"/>
            </w:r>
            <w:r>
              <w:rPr>
                <w:rFonts w:ascii="Times New Roman" w:hAnsi="Times New Roman"/>
                <w:b/>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Richard C. Josephson</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Per A. Ramfjord</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Scott J. Kaplan</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Stoel Rives L.L.P.</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900 SW Fifth Avenue, Suite 2600</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Portland, OR    97204-1268</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(503) 224-3380</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t xml:space="preserve">    </w:t>
            </w:r>
            <w:r>
              <w:rPr>
                <w:rFonts w:ascii="Times New Roman" w:hAnsi="Times New Roman"/>
                <w:i/>
                <w:sz w:val="24"/>
              </w:rPr>
              <w:t>Attorneys for PacifiCorp</w:t>
            </w:r>
          </w:p>
          <w:p>
            <w:pPr>
              <w:pStyle w:val="Normal"/>
              <w:widowControl/>
              <w:tabs>
                <w:tab w:val="clear" w:pos="720"/>
              </w:tabs>
              <w:bidi w:val="0"/>
              <w:jc w:val="start"/>
              <w:rPr>
                <w:rFonts w:ascii="Times New Roman" w:hAnsi="Times New Roman"/>
                <w:i/>
                <w:i/>
                <w:sz w:val="24"/>
              </w:rPr>
            </w:pPr>
            <w:r>
              <w:rPr>
                <w:rFonts w:ascii="Times New Roman" w:hAnsi="Times New Roman"/>
                <w:i/>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t xml:space="preserve">    </w:t>
            </w:r>
            <w:r>
              <w:rPr>
                <w:rFonts w:ascii="Times New Roman" w:hAnsi="Times New Roman"/>
                <w:i/>
                <w:sz w:val="24"/>
              </w:rPr>
              <w:t>______________________________</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Henry C. Thumann</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John W. Stamper</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Brian S. Currey</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Marc S. Williams</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O'Melveny &amp; Myers LLP</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400 S. Hope Street</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Los Angeles, CA    90071</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(213) 430-6000 (voice)</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i/>
                <w:i/>
                <w:sz w:val="24"/>
              </w:rPr>
            </w:pPr>
            <w:r>
              <w:rPr>
                <w:rFonts w:ascii="Times New Roman" w:hAnsi="Times New Roman"/>
                <w:i/>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______________________________</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Don Garber, Esq.</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San Diego Gas &amp; Electric Company</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101 Ash Street, 12th Floor</w:t>
            </w:r>
          </w:p>
          <w:p>
            <w:pPr>
              <w:pStyle w:val="Normal"/>
              <w:widowControl/>
              <w:tabs>
                <w:tab w:val="clear" w:pos="720"/>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San Diego, CA    92101</w:t>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i/>
                <w:sz w:val="24"/>
              </w:rPr>
              <w:t xml:space="preserve"> </w:t>
            </w:r>
            <w:r>
              <w:rPr>
                <w:rFonts w:ascii="Times New Roman" w:hAnsi="Times New Roman"/>
                <w:i/>
                <w:sz w:val="24"/>
              </w:rPr>
              <w:t>Attorneys for San Diego Gas &amp; Electric            Company</w:t>
            </w:r>
          </w:p>
          <w:p>
            <w:pPr>
              <w:pStyle w:val="Normal"/>
              <w:widowControl/>
              <w:tabs>
                <w:tab w:val="clear" w:pos="720"/>
              </w:tabs>
              <w:bidi w:val="0"/>
              <w:jc w:val="start"/>
              <w:rPr>
                <w:rFonts w:ascii="Times New Roman" w:hAnsi="Times New Roman"/>
                <w:i/>
                <w:i/>
                <w:sz w:val="24"/>
              </w:rPr>
            </w:pPr>
            <w:r>
              <w:rPr>
                <w:rFonts w:ascii="Times New Roman" w:hAnsi="Times New Roman"/>
                <w:i/>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March __, 2001</w:t>
      </w:r>
      <w:r>
        <w:br w:type="page"/>
      </w:r>
    </w:p>
    <w:p>
      <w:pPr>
        <w:pStyle w:val="Normal"/>
        <w:widowContro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0" w:top="1440" w:footer="720" w:bottom="864"/>
          <w:formProt w:val="false"/>
          <w:titlePg/>
          <w:textDirection w:val="lrTb"/>
          <w:docGrid w:type="default" w:linePitch="600" w:charSpace="4096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b/>
          <w:sz w:val="24"/>
        </w:rPr>
      </w:pPr>
      <w:r>
        <w:rPr>
          <w:rFonts w:ascii="Times New Roman" w:hAnsi="Times New Roman"/>
          <w:b/>
          <w:sz w:val="24"/>
        </w:rPr>
        <w:tab/>
        <w:t>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rFonts w:ascii="Times New Roman" w:hAnsi="Times New Roman"/>
          <w:b/>
          <w:sz w:val="24"/>
        </w:rPr>
      </w:pPr>
      <w:r>
        <w:rPr>
          <w:rFonts w:ascii="Times New Roman" w:hAnsi="Times New Roman"/>
          <w:b/>
          <w:sz w:val="24"/>
        </w:rPr>
        <w:t>BEFORE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rFonts w:ascii="Times New Roman" w:hAnsi="Times New Roman"/>
          <w:sz w:val="24"/>
        </w:rPr>
      </w:pPr>
      <w:r>
        <w:rPr>
          <w:rFonts w:ascii="Times New Roman" w:hAnsi="Times New Roman"/>
          <w:b/>
          <w:sz w:val="24"/>
        </w:rPr>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start"/>
        <w:rPr>
          <w:rFonts w:ascii="Times New Roman" w:hAnsi="Times New Roman"/>
          <w:sz w:val="24"/>
        </w:rPr>
      </w:pPr>
      <w:r>
        <w:rPr>
          <w:rFonts w:ascii="Times New Roman" w:hAnsi="Times New Roman"/>
          <w:sz w:val="24"/>
        </w:rPr>
        <w:t>California Power Exchange Corporation</w:t>
        <w:tab/>
        <w:t>)</w:t>
        <w:tab/>
        <w:t>Docket No. ER01-902-000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rFonts w:ascii="Times New Roman" w:hAnsi="Times New Roman"/>
          <w:sz w:val="24"/>
        </w:rPr>
      </w:pPr>
      <w:r>
        <w:rPr>
          <w:rFonts w:ascii="Times New Roman" w:hAnsi="Times New Roman"/>
          <w:b/>
          <w:sz w:val="24"/>
        </w:rPr>
        <w:t>CERTIFICATE OF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t>Dated at Washington, DC this __th    day of March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tab/>
        <w:tab/>
        <w:tab/>
        <w:tab/>
        <w:tab/>
        <w:t xml:space="preserve">_____________________________ 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tab/>
        <w:tab/>
        <w:tab/>
        <w:tab/>
        <w:tab/>
        <w:tab/>
        <w:t>Kimberly A. Curry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t>March __,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sz w:val="24"/>
        </w:rPr>
      </w:pPr>
      <w:r>
        <w:rPr>
          <w:rFonts w:ascii="Times New Roman" w:hAnsi="Times New Roman"/>
          <w:sz w:val="24"/>
        </w:rPr>
      </w:r>
    </w:p>
    <w:p>
      <w:pPr>
        <w:pStyle w:val="Foo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rFonts w:ascii="Times New Roman" w:hAnsi="Times New Roman"/>
        </w:rPr>
      </w:pPr>
      <w:r>
        <w:rPr>
          <w:rFonts w:ascii="Times New Roman" w:hAnsi="Times New Roman"/>
        </w:rPr>
        <w:t>139200</w:t>
      </w:r>
    </w:p>
    <w:sectPr>
      <w:footnotePr>
        <w:numFmt w:val="decimal"/>
        <w:numRestart w:val="eachSect"/>
      </w:footnotePr>
      <w:type w:val="continuous"/>
      <w:pgSz w:w="12240" w:h="15840"/>
      <w:pgMar w:left="1440" w:right="1440" w:gutter="0" w:header="0" w:top="1440" w:footer="720" w:bottom="864"/>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0" allowOverlap="1" relativeHeight="7">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9</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9</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2"/>
        </w:rPr>
        <w:t>SDG&amp;E filed a timely intervention and protest in this proceeding on January 26, 2001; on March 13, Coral, EPMI, APS, Avista, PacifiCorp, and CPS filed a joint motion to intervene out of time.</w:t>
      </w:r>
    </w:p>
  </w:footnote>
  <w:footnote w:id="3">
    <w:p>
      <w:pPr>
        <w:pStyle w:val="FootnoteText"/>
        <w:bidi w:val="0"/>
        <w:jc w:val="start"/>
        <w:rPr/>
      </w:pPr>
      <w:r>
        <w:rPr>
          <w:rStyle w:val="FootnoteCharacters"/>
        </w:rPr>
        <w:footnoteRef/>
      </w:r>
      <w:r>
        <w:rPr>
          <w:rFonts w:ascii="Times New Roman" w:hAnsi="Times New Roman"/>
          <w:sz w:val="22"/>
        </w:rPr>
        <w:t>CalPX also argues that the Commission erroneously stated that CalPX had "closed its Day-Ahead and Day-Of energy markets," 94 F.E.R.C.</w:t>
      </w:r>
      <w:r>
        <w:rPr>
          <w:rFonts w:ascii="Times New Roman" w:hAnsi="Times New Roman"/>
          <w:i/>
          <w:sz w:val="22"/>
        </w:rPr>
        <w:t xml:space="preserve"> </w:t>
      </w:r>
      <w:r>
        <w:rPr>
          <w:rFonts w:ascii="Times New Roman" w:hAnsi="Times New Roman"/>
          <w:sz w:val="22"/>
        </w:rPr>
        <w:t xml:space="preserve">at 61,511, and that it only suspended its markets rather than closed those markets. </w:t>
      </w:r>
      <w:r>
        <w:rPr>
          <w:rFonts w:ascii="Times New Roman" w:hAnsi="Times New Roman"/>
          <w:i/>
          <w:sz w:val="22"/>
        </w:rPr>
        <w:t xml:space="preserve"> Clarification</w:t>
      </w:r>
      <w:r>
        <w:rPr>
          <w:rFonts w:ascii="Times New Roman" w:hAnsi="Times New Roman"/>
          <w:sz w:val="22"/>
        </w:rPr>
        <w:t xml:space="preserve"> </w:t>
      </w:r>
      <w:r>
        <w:rPr>
          <w:rFonts w:ascii="Times New Roman" w:hAnsi="Times New Roman"/>
          <w:i/>
          <w:sz w:val="22"/>
        </w:rPr>
        <w:t>Request</w:t>
      </w:r>
      <w:r>
        <w:rPr>
          <w:rFonts w:ascii="Times New Roman" w:hAnsi="Times New Roman"/>
          <w:sz w:val="22"/>
        </w:rPr>
        <w:t xml:space="preserve"> at 7.  CalPX requests that the Commission clarify this matter and suggests that this "may allow the Commission to approve Tariff Amendment 22."  </w:t>
      </w:r>
      <w:r>
        <w:rPr>
          <w:rFonts w:ascii="Times New Roman" w:hAnsi="Times New Roman"/>
          <w:i/>
          <w:sz w:val="22"/>
        </w:rPr>
        <w:t xml:space="preserve">Id. </w:t>
      </w:r>
      <w:r>
        <w:rPr>
          <w:rFonts w:ascii="Times New Roman" w:hAnsi="Times New Roman"/>
          <w:sz w:val="22"/>
        </w:rPr>
        <w:t xml:space="preserve"> This is incorrect.  The Commission did not rely on the fact that CalPX may have closed, as opposed to suspended, its operations in arriving at its decision to reject Amendment No. 22.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1152" w:hanging="1152"/>
      </w:pPr>
      <w:rPr/>
    </w:lvl>
    <w:lvl w:ilvl="1">
      <w:start w:val="1"/>
      <w:numFmt w:val="upperLetter"/>
      <w:lvlText w:val="%2."/>
      <w:lvlJc w:val="start"/>
      <w:pPr>
        <w:tabs>
          <w:tab w:val="num" w:pos="0"/>
        </w:tabs>
        <w:ind w:start="2304" w:hanging="1152"/>
      </w:pPr>
      <w:rPr/>
    </w:lvl>
    <w:lvl w:ilvl="2">
      <w:start w:val="1"/>
      <w:numFmt w:val="upperLetter"/>
      <w:lvlText w:val="%3."/>
      <w:lvlJc w:val="start"/>
      <w:pPr>
        <w:tabs>
          <w:tab w:val="num" w:pos="0"/>
        </w:tabs>
        <w:ind w:start="3456" w:hanging="1152"/>
      </w:pPr>
      <w:rPr/>
    </w:lvl>
    <w:lvl w:ilvl="3">
      <w:start w:val="1"/>
      <w:numFmt w:val="upperLetter"/>
      <w:lvlText w:val="%4."/>
      <w:lvlJc w:val="start"/>
      <w:pPr>
        <w:tabs>
          <w:tab w:val="num" w:pos="0"/>
        </w:tabs>
        <w:ind w:start="4608" w:hanging="1152"/>
      </w:pPr>
      <w:rPr/>
    </w:lvl>
    <w:lvl w:ilvl="4">
      <w:start w:val="1"/>
      <w:numFmt w:val="upperLetter"/>
      <w:lvlText w:val="%5."/>
      <w:lvlJc w:val="start"/>
      <w:pPr>
        <w:tabs>
          <w:tab w:val="num" w:pos="0"/>
        </w:tabs>
        <w:ind w:start="5760" w:hanging="1152"/>
      </w:pPr>
      <w:rPr/>
    </w:lvl>
    <w:lvl w:ilvl="5">
      <w:start w:val="1"/>
      <w:numFmt w:val="upperLetter"/>
      <w:lvlText w:val="%6."/>
      <w:lvlJc w:val="start"/>
      <w:pPr>
        <w:tabs>
          <w:tab w:val="num" w:pos="0"/>
        </w:tabs>
        <w:ind w:start="6912" w:hanging="1152"/>
      </w:pPr>
      <w:rPr/>
    </w:lvl>
    <w:lvl w:ilvl="6">
      <w:start w:val="1"/>
      <w:numFmt w:val="upperLetter"/>
      <w:lvlText w:val="%7."/>
      <w:lvlJc w:val="start"/>
      <w:pPr>
        <w:tabs>
          <w:tab w:val="num" w:pos="0"/>
        </w:tabs>
        <w:ind w:start="8064" w:hanging="1152"/>
      </w:pPr>
      <w:rPr/>
    </w:lvl>
    <w:lvl w:ilvl="7">
      <w:start w:val="1"/>
      <w:numFmt w:val="upperLetter"/>
      <w:lvlText w:val="%8."/>
      <w:lvlJc w:val="start"/>
      <w:pPr>
        <w:tabs>
          <w:tab w:val="num" w:pos="0"/>
        </w:tabs>
        <w:ind w:start="9216" w:hanging="1152"/>
      </w:pPr>
      <w:rPr/>
    </w:lvl>
    <w:lvl w:ilvl="8">
      <w:start w:val="1"/>
      <w:numFmt w:val="lowerRoman"/>
      <w:lvlText w:val="%9"/>
      <w:lvlJc w:val="start"/>
      <w:pPr>
        <w:tabs>
          <w:tab w:val="num" w:pos="0"/>
        </w:tabs>
        <w:ind w:start="10368" w:hanging="1152"/>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w:hAnsi="Times New"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tabs>
        <w:tab w:val="clear" w:pos="720"/>
        <w:tab w:val="left" w:pos="-1440" w:leader="none"/>
        <w:tab w:val="left" w:pos="-720" w:leader="none"/>
      </w:tabs>
      <w:outlineLvl w:val="0"/>
    </w:pPr>
    <w:rPr>
      <w:rFonts w:ascii="Times New" w:hAnsi="Times New"/>
      <w:b/>
    </w:rPr>
  </w:style>
  <w:style w:type="paragraph" w:styleId="Heading2">
    <w:name w:val="heading 2"/>
    <w:basedOn w:val="Normal"/>
    <w:next w:val="Normal"/>
    <w:qFormat/>
    <w:pPr>
      <w:widowControl w:val="false"/>
      <w:jc w:val="end"/>
    </w:pPr>
    <w:rPr>
      <w:rFonts w:ascii="Times New" w:hAnsi="Times New"/>
    </w:rPr>
  </w:style>
  <w:style w:type="paragraph" w:styleId="Heading3">
    <w:name w:val="heading 3"/>
    <w:basedOn w:val="Normal"/>
    <w:next w:val="Normal"/>
    <w:qFormat/>
    <w:pPr>
      <w:keepNext w:val="true"/>
      <w:widowControl/>
      <w:tabs>
        <w:tab w:val="clear" w:pos="720"/>
        <w:tab w:val="left" w:pos="-1440" w:leader="none"/>
        <w:tab w:val="left" w:pos="-720" w:leader="none"/>
      </w:tabs>
      <w:ind w:hanging="0" w:start="432"/>
      <w:jc w:val="center"/>
      <w:outlineLvl w:val="2"/>
    </w:pPr>
    <w:rPr>
      <w:rFonts w:ascii="Times New" w:hAnsi="Times New"/>
      <w:b/>
      <w:sz w:val="28"/>
    </w:rPr>
  </w:style>
  <w:style w:type="paragraph" w:styleId="Heading4">
    <w:name w:val="heading 4"/>
    <w:basedOn w:val="Normal"/>
    <w:next w:val="Normal"/>
    <w:qFormat/>
    <w:pPr>
      <w:keepNext w:val="true"/>
      <w:widowControl/>
      <w:tabs>
        <w:tab w:val="clear" w:pos="720"/>
        <w:tab w:val="left" w:pos="-1440" w:leader="none"/>
        <w:tab w:val="left" w:pos="-720" w:leader="none"/>
      </w:tabs>
      <w:jc w:val="center"/>
      <w:outlineLvl w:val="3"/>
    </w:pPr>
    <w:rPr>
      <w:b/>
      <w:sz w:val="26"/>
    </w:rPr>
  </w:style>
  <w:style w:type="paragraph" w:styleId="Heading5">
    <w:name w:val="heading 5"/>
    <w:basedOn w:val="Normal"/>
    <w:next w:val="Normal"/>
    <w:qFormat/>
    <w:pPr>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4"/>
    </w:pPr>
    <w:rPr>
      <w:b/>
    </w:rPr>
  </w:style>
  <w:style w:type="character" w:styleId="DefaultParagraphFont">
    <w:name w:val="Default Paragraph Font"/>
    <w:qFormat/>
    <w:rPr/>
  </w:style>
  <w:style w:type="character" w:styleId="footnotetex">
    <w:name w:val="footnote tex"/>
    <w:qFormat/>
    <w:rPr>
      <w:rFonts w:ascii="Times New Roman" w:hAnsi="Times New Roman"/>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tabs>
        <w:tab w:val="left" w:pos="720" w:leader="none"/>
      </w:tabs>
      <w:bidi w:val="0"/>
      <w:ind w:hanging="1440" w:start="720"/>
      <w:jc w:val="both"/>
    </w:pPr>
    <w:rPr>
      <w:rFonts w:ascii="Times New" w:hAnsi="Times New" w:eastAsia="Times New Roman" w:cs="Times New Roman"/>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ind w:hanging="2160" w:start="1440"/>
      <w:jc w:val="both"/>
    </w:pPr>
    <w:rPr>
      <w:rFonts w:ascii="Times New" w:hAnsi="Times New" w:eastAsia="Times New Roman" w:cs="Times New Roman"/>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ind w:hanging="3600" w:start="2160"/>
      <w:jc w:val="both"/>
    </w:pPr>
    <w:rPr>
      <w:rFonts w:ascii="Times New" w:hAnsi="Times New" w:eastAsia="Times New Roman" w:cs="Times New Roman"/>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ind w:hanging="5040" w:start="2880"/>
      <w:jc w:val="both"/>
    </w:pPr>
    <w:rPr>
      <w:rFonts w:ascii="Times New" w:hAnsi="Times New" w:eastAsia="Times New Roman" w:cs="Times New Roman"/>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ind w:hanging="6480" w:start="3600"/>
      <w:jc w:val="both"/>
    </w:pPr>
    <w:rPr>
      <w:rFonts w:ascii="Times New" w:hAnsi="Times New" w:eastAsia="Times New Roman" w:cs="Times New Roman"/>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920" w:start="4320"/>
      <w:jc w:val="both"/>
    </w:pPr>
    <w:rPr>
      <w:rFonts w:ascii="Times New" w:hAnsi="Times New" w:eastAsia="Times New Roman" w:cs="Times New Roman"/>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9360" w:start="5040"/>
      <w:jc w:val="both"/>
    </w:pPr>
    <w:rPr>
      <w:rFonts w:ascii="Times New" w:hAnsi="Times New" w:eastAsia="Times New Roman" w:cs="Times New Roman"/>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10800" w:start="5760"/>
      <w:jc w:val="both"/>
    </w:pPr>
    <w:rPr>
      <w:rFonts w:ascii="Times New" w:hAnsi="Times New" w:eastAsia="Times New Roman" w:cs="Times New Roman"/>
      <w:color w:val="auto"/>
      <w:kern w:val="2"/>
      <w:sz w:val="24"/>
      <w:szCs w:val="24"/>
      <w:lang w:val="en-CA" w:eastAsia="zh-CN" w:bidi="hi-IN"/>
    </w:rPr>
  </w:style>
  <w:style w:type="paragraph" w:styleId="1Kathy">
    <w:name w:val="1Kathy"/>
    <w:qFormat/>
    <w:pPr>
      <w:widowControl w:val="false"/>
      <w:bidi w:val="0"/>
    </w:pPr>
    <w:rPr>
      <w:rFonts w:ascii="Times New" w:hAnsi="Times New" w:eastAsia="Times New Roman" w:cs="Times New Roman"/>
      <w:color w:val="auto"/>
      <w:kern w:val="2"/>
      <w:sz w:val="24"/>
      <w:szCs w:val="24"/>
      <w:lang w:val="en-CA" w:eastAsia="zh-CN" w:bidi="hi-IN"/>
    </w:rPr>
  </w:style>
  <w:style w:type="paragraph" w:styleId="2Kathy">
    <w:name w:val="2Kathy"/>
    <w:qFormat/>
    <w:pPr>
      <w:widowControl w:val="false"/>
      <w:bidi w:val="0"/>
      <w:ind w:start="720"/>
      <w:jc w:val="both"/>
    </w:pPr>
    <w:rPr>
      <w:rFonts w:ascii="Times New" w:hAnsi="Times New" w:eastAsia="Times New Roman" w:cs="Times New Roman"/>
      <w:color w:val="auto"/>
      <w:kern w:val="2"/>
      <w:sz w:val="24"/>
      <w:szCs w:val="24"/>
      <w:lang w:val="en-CA" w:eastAsia="zh-CN" w:bidi="hi-IN"/>
    </w:rPr>
  </w:style>
  <w:style w:type="paragraph" w:styleId="3Kathy">
    <w:name w:val="3Kathy"/>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4Kathy">
    <w:name w:val="4Kathy"/>
    <w:qFormat/>
    <w:pPr>
      <w:widowControl w:val="false"/>
      <w:bidi w:val="0"/>
      <w:ind w:start="2160"/>
      <w:jc w:val="both"/>
    </w:pPr>
    <w:rPr>
      <w:rFonts w:ascii="Times New" w:hAnsi="Times New" w:eastAsia="Times New Roman" w:cs="Times New Roman"/>
      <w:color w:val="auto"/>
      <w:kern w:val="2"/>
      <w:sz w:val="24"/>
      <w:szCs w:val="24"/>
      <w:lang w:val="en-CA" w:eastAsia="zh-CN" w:bidi="hi-IN"/>
    </w:rPr>
  </w:style>
  <w:style w:type="paragraph" w:styleId="5Kathy">
    <w:name w:val="5Kathy"/>
    <w:qFormat/>
    <w:pPr>
      <w:widowControl w:val="false"/>
      <w:bidi w:val="0"/>
      <w:ind w:start="2880"/>
      <w:jc w:val="both"/>
    </w:pPr>
    <w:rPr>
      <w:rFonts w:ascii="Times New" w:hAnsi="Times New" w:eastAsia="Times New Roman" w:cs="Times New Roman"/>
      <w:color w:val="auto"/>
      <w:kern w:val="2"/>
      <w:sz w:val="24"/>
      <w:szCs w:val="24"/>
      <w:lang w:val="en-CA" w:eastAsia="zh-CN" w:bidi="hi-IN"/>
    </w:rPr>
  </w:style>
  <w:style w:type="paragraph" w:styleId="6Kathy">
    <w:name w:val="6Kathy"/>
    <w:qFormat/>
    <w:pPr>
      <w:widowControl w:val="false"/>
      <w:bidi w:val="0"/>
      <w:ind w:start="3600"/>
      <w:jc w:val="both"/>
    </w:pPr>
    <w:rPr>
      <w:rFonts w:ascii="Times New" w:hAnsi="Times New" w:eastAsia="Times New Roman" w:cs="Times New Roman"/>
      <w:color w:val="auto"/>
      <w:kern w:val="2"/>
      <w:sz w:val="24"/>
      <w:szCs w:val="24"/>
      <w:lang w:val="en-CA" w:eastAsia="zh-CN" w:bidi="hi-IN"/>
    </w:rPr>
  </w:style>
  <w:style w:type="paragraph" w:styleId="7Kathy">
    <w:name w:val="7Kathy"/>
    <w:qFormat/>
    <w:pPr>
      <w:widowControl w:val="false"/>
      <w:bidi w:val="0"/>
      <w:ind w:start="4320"/>
      <w:jc w:val="both"/>
    </w:pPr>
    <w:rPr>
      <w:rFonts w:ascii="Times New" w:hAnsi="Times New" w:eastAsia="Times New Roman" w:cs="Times New Roman"/>
      <w:color w:val="auto"/>
      <w:kern w:val="2"/>
      <w:sz w:val="24"/>
      <w:szCs w:val="24"/>
      <w:lang w:val="en-CA" w:eastAsia="zh-CN" w:bidi="hi-IN"/>
    </w:rPr>
  </w:style>
  <w:style w:type="paragraph" w:styleId="8Kathy">
    <w:name w:val="8Kathy"/>
    <w:qFormat/>
    <w:pPr>
      <w:widowControl w:val="false"/>
      <w:bidi w:val="0"/>
      <w:ind w:start="5040"/>
      <w:jc w:val="both"/>
    </w:pPr>
    <w:rPr>
      <w:rFonts w:ascii="Times New" w:hAnsi="Times New" w:eastAsia="Times New Roman" w:cs="Times New Roman"/>
      <w:color w:val="auto"/>
      <w:kern w:val="2"/>
      <w:sz w:val="24"/>
      <w:szCs w:val="24"/>
      <w:lang w:val="en-CA" w:eastAsia="zh-CN" w:bidi="hi-IN"/>
    </w:rPr>
  </w:style>
  <w:style w:type="paragraph" w:styleId="1AutoList1">
    <w:name w:val="1AutoList1"/>
    <w:qFormat/>
    <w:pPr>
      <w:widowControl w:val="false"/>
      <w:tabs>
        <w:tab w:val="left" w:pos="720" w:leader="none"/>
      </w:tabs>
      <w:bidi w:val="0"/>
      <w:ind w:hanging="720" w:start="720"/>
      <w:jc w:val="both"/>
    </w:pPr>
    <w:rPr>
      <w:rFonts w:ascii="Times New" w:hAnsi="Times New" w:eastAsia="Times New Roman" w:cs="Times New Roman"/>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ind w:hanging="720" w:start="1440"/>
      <w:jc w:val="both"/>
    </w:pPr>
    <w:rPr>
      <w:rFonts w:ascii="Times New" w:hAnsi="Times New" w:eastAsia="Times New Roman" w:cs="Times New Roman"/>
      <w:color w:val="auto"/>
      <w:kern w:val="2"/>
      <w:sz w:val="24"/>
      <w:szCs w:val="24"/>
      <w:lang w:val="en-CA" w:eastAsia="zh-CN" w:bidi="hi-IN"/>
    </w:rPr>
  </w:style>
  <w:style w:type="paragraph" w:styleId="3AutoList1">
    <w:name w:val="3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4AutoList1">
    <w:name w:val="4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5AutoList1">
    <w:name w:val="5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6AutoList1">
    <w:name w:val="6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7AutoList1">
    <w:name w:val="7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8AutoList1">
    <w:name w:val="8AutoList1"/>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1Technical">
    <w:name w:val="1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2Technical">
    <w:name w:val="2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3Technical">
    <w:name w:val="3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4Technical">
    <w:name w:val="4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5Technical">
    <w:name w:val="5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6Technical">
    <w:name w:val="6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7Technical">
    <w:name w:val="7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8Technical">
    <w:name w:val="8Technical"/>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1Document">
    <w:name w:val="1Document"/>
    <w:qFormat/>
    <w:pPr>
      <w:keepNext w:val="true"/>
      <w:widowControl w:val="false"/>
      <w:bidi w:val="0"/>
      <w:jc w:val="center"/>
    </w:pPr>
    <w:rPr>
      <w:rFonts w:ascii="Times New" w:hAnsi="Times New" w:eastAsia="Times New Roman" w:cs="Times New Roman"/>
      <w:color w:val="auto"/>
      <w:kern w:val="2"/>
      <w:sz w:val="24"/>
      <w:szCs w:val="24"/>
      <w:lang w:val="en-CA" w:eastAsia="zh-CN" w:bidi="hi-IN"/>
    </w:rPr>
  </w:style>
  <w:style w:type="paragraph" w:styleId="2Document">
    <w:name w:val="2Document"/>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3Document">
    <w:name w:val="3Document"/>
    <w:qFormat/>
    <w:pPr>
      <w:widowControl w:val="false"/>
      <w:bidi w:val="0"/>
      <w:jc w:val="both"/>
    </w:pPr>
    <w:rPr>
      <w:rFonts w:ascii="Times New" w:hAnsi="Times New" w:eastAsia="Times New Roman" w:cs="Times New Roman"/>
      <w:color w:val="auto"/>
      <w:kern w:val="2"/>
      <w:sz w:val="24"/>
      <w:szCs w:val="24"/>
      <w:lang w:val="en-CA" w:eastAsia="zh-CN" w:bidi="hi-IN"/>
    </w:rPr>
  </w:style>
  <w:style w:type="paragraph" w:styleId="4Document">
    <w:name w:val="4Document"/>
    <w:qFormat/>
    <w:pPr>
      <w:widowControl w:val="false"/>
      <w:bidi w:val="0"/>
    </w:pPr>
    <w:rPr>
      <w:rFonts w:ascii="Times New" w:hAnsi="Times New" w:eastAsia="Times New Roman" w:cs="Times New Roman"/>
      <w:color w:val="auto"/>
      <w:kern w:val="2"/>
      <w:sz w:val="24"/>
      <w:szCs w:val="24"/>
      <w:lang w:val="en-CA" w:eastAsia="zh-CN" w:bidi="hi-IN"/>
    </w:rPr>
  </w:style>
  <w:style w:type="paragraph" w:styleId="5Document">
    <w:name w:val="5Document"/>
    <w:qFormat/>
    <w:pPr>
      <w:widowControl w:val="false"/>
      <w:bidi w:val="0"/>
      <w:ind w:start="720"/>
      <w:jc w:val="both"/>
    </w:pPr>
    <w:rPr>
      <w:rFonts w:ascii="Times New" w:hAnsi="Times New" w:eastAsia="Times New Roman" w:cs="Times New Roman"/>
      <w:color w:val="auto"/>
      <w:kern w:val="2"/>
      <w:sz w:val="24"/>
      <w:szCs w:val="24"/>
      <w:lang w:val="en-CA" w:eastAsia="zh-CN" w:bidi="hi-IN"/>
    </w:rPr>
  </w:style>
  <w:style w:type="paragraph" w:styleId="6Document">
    <w:name w:val="6Document"/>
    <w:qFormat/>
    <w:pPr>
      <w:widowControl w:val="false"/>
      <w:bidi w:val="0"/>
      <w:ind w:start="720" w:end="720"/>
      <w:jc w:val="both"/>
    </w:pPr>
    <w:rPr>
      <w:rFonts w:ascii="Times New" w:hAnsi="Times New" w:eastAsia="Times New Roman" w:cs="Times New Roman"/>
      <w:color w:val="auto"/>
      <w:kern w:val="2"/>
      <w:sz w:val="24"/>
      <w:szCs w:val="24"/>
      <w:lang w:val="en-CA" w:eastAsia="zh-CN" w:bidi="hi-IN"/>
    </w:rPr>
  </w:style>
  <w:style w:type="paragraph" w:styleId="7Document">
    <w:name w:val="7Document"/>
    <w:qFormat/>
    <w:pPr>
      <w:widowControl w:val="false"/>
      <w:bidi w:val="0"/>
      <w:ind w:start="1440"/>
      <w:jc w:val="both"/>
    </w:pPr>
    <w:rPr>
      <w:rFonts w:ascii="Times New" w:hAnsi="Times New" w:eastAsia="Times New Roman" w:cs="Times New Roman"/>
      <w:color w:val="auto"/>
      <w:kern w:val="2"/>
      <w:sz w:val="24"/>
      <w:szCs w:val="24"/>
      <w:lang w:val="en-CA" w:eastAsia="zh-CN" w:bidi="hi-IN"/>
    </w:rPr>
  </w:style>
  <w:style w:type="paragraph" w:styleId="8Document">
    <w:name w:val="8Document"/>
    <w:qFormat/>
    <w:pPr>
      <w:widowControl w:val="false"/>
      <w:bidi w:val="0"/>
      <w:ind w:start="1440" w:end="720"/>
      <w:jc w:val="both"/>
    </w:pPr>
    <w:rPr>
      <w:rFonts w:ascii="Times New" w:hAnsi="Times New" w:eastAsia="Times New Roman" w:cs="Times New Roman"/>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rFonts w:ascii="Times New" w:hAnsi="Times New"/>
      <w:sz w:val="20"/>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2144</Words>
  <Characters>15010</Characters>
  <CharactersWithSpaces>12223</CharactersWithSpaces>
  <Company>Bracewell &amp; Patterson,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2001-03-15T19:12:00Z</dcterms:created>
  <dc:creator>Bracewell &amp; Patterson, L.L.P.</dc:creator>
  <dc:description/>
  <dc:language>en-CA</dc:language>
  <cp:lastModifiedBy/>
  <dcterms:modified xsi:type="dcterms:W3CDTF">2001-03-15T19:13:00Z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 L.L.P.</vt:lpwstr>
  </property>
</Properties>
</file>