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January 31,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Proposed modifications to the Stipulation that were not incorporated in the January 31 Draft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  <w:t>Article I: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BodyTextIndent"/>
        <w:ind w:hanging="0" w:start="1440" w:end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BodyTextIndent"/>
        <w:rPr>
          <w:b/>
        </w:rPr>
      </w:pPr>
      <w:r>
        <w:rPr>
          <w:b/>
        </w:rPr>
        <w:t>Definition 13</w:t>
        <w:tab/>
      </w:r>
    </w:p>
    <w:p>
      <w:pPr>
        <w:pStyle w:val="BodyTextIndent"/>
        <w:rPr>
          <w:b/>
        </w:rPr>
      </w:pPr>
      <w:r>
        <w:rPr>
          <w:b/>
        </w:rPr>
      </w:r>
    </w:p>
    <w:p>
      <w:pPr>
        <w:pStyle w:val="BodyTextIndent"/>
        <w:rPr/>
      </w:pPr>
      <w:r>
        <w:rPr/>
        <w:t>SCANA</w:t>
        <w:tab/>
        <w:t xml:space="preserve">AGLC will not place itself at risk for pipeline costs that are incurred as a result of its compliance with Georgia law. </w:t>
      </w:r>
    </w:p>
    <w:p>
      <w:pPr>
        <w:pStyle w:val="BodyTextIndent"/>
        <w:rPr/>
      </w:pPr>
      <w:r>
        <w:rPr/>
      </w:r>
    </w:p>
    <w:p>
      <w:pPr>
        <w:pStyle w:val="BodyTextIndent"/>
        <w:rPr>
          <w:u w:val="single"/>
        </w:rPr>
      </w:pPr>
      <w:r>
        <w:rPr>
          <w:u w:val="single"/>
        </w:rPr>
        <w:t>Article II:</w:t>
      </w:r>
    </w:p>
    <w:p>
      <w:pPr>
        <w:pStyle w:val="BodyTextIndent"/>
        <w:rPr>
          <w:u w:val="single"/>
        </w:rPr>
      </w:pPr>
      <w:r>
        <w:rPr>
          <w:u w:val="single"/>
        </w:rPr>
      </w:r>
    </w:p>
    <w:p>
      <w:pPr>
        <w:pStyle w:val="BodyTextIndent"/>
        <w:rPr>
          <w:b/>
        </w:rPr>
      </w:pPr>
      <w:r>
        <w:rPr>
          <w:b/>
        </w:rPr>
        <w:t>Section 1.</w:t>
      </w:r>
    </w:p>
    <w:p>
      <w:pPr>
        <w:pStyle w:val="BodyTextIndent"/>
        <w:rPr>
          <w:b/>
        </w:rPr>
      </w:pPr>
      <w:r>
        <w:rPr>
          <w:b/>
        </w:rPr>
      </w:r>
    </w:p>
    <w:p>
      <w:pPr>
        <w:pStyle w:val="BodyTextIndent"/>
        <w:rPr/>
      </w:pPr>
      <w:r>
        <w:rPr/>
        <w:t>SCANA</w:t>
        <w:tab/>
        <w:t>AGLC indicated in the January 11 &amp;12 meeting that it could not stipulate that the statutory requirements have been met.</w:t>
      </w:r>
    </w:p>
    <w:p>
      <w:pPr>
        <w:pStyle w:val="BodyTextIndent"/>
        <w:rPr>
          <w:b/>
        </w:rPr>
      </w:pPr>
      <w:r>
        <w:rPr>
          <w:b/>
        </w:rPr>
        <w:t>Section 2.</w:t>
      </w:r>
    </w:p>
    <w:p>
      <w:pPr>
        <w:pStyle w:val="BodyTextIndent"/>
        <w:rPr>
          <w:b/>
        </w:rPr>
      </w:pPr>
      <w:r>
        <w:rPr>
          <w:b/>
        </w:rPr>
      </w:r>
    </w:p>
    <w:p>
      <w:pPr>
        <w:pStyle w:val="BodyTextIndent"/>
        <w:rPr/>
      </w:pPr>
      <w:r>
        <w:rPr/>
        <w:t>Shell &amp; SCANA</w:t>
        <w:tab/>
        <w:t>The proposed changes were not agreed to by the parties at the January 11 &amp; 12 meeting.  In fact there are still several outstanding issues that parties said needed to be resolved before they would be able to support such language, including but not limited to: credit, marketer bankruptcy, capacity following the premises, and contract extensions.</w:t>
      </w:r>
    </w:p>
    <w:p>
      <w:pPr>
        <w:pStyle w:val="BodyTextIndent"/>
        <w:rPr>
          <w:b/>
        </w:rPr>
      </w:pPr>
      <w:r>
        <w:rPr>
          <w:b/>
        </w:rPr>
        <w:t>Section 3.</w:t>
      </w:r>
    </w:p>
    <w:p>
      <w:pPr>
        <w:pStyle w:val="BodyTextIndent"/>
        <w:rPr>
          <w:b/>
        </w:rPr>
      </w:pPr>
      <w:r>
        <w:rPr>
          <w:b/>
        </w:rPr>
      </w:r>
    </w:p>
    <w:p>
      <w:pPr>
        <w:pStyle w:val="BodyTextIndent"/>
        <w:rPr/>
      </w:pPr>
      <w:r>
        <w:rPr/>
        <w:t>Shell &amp; SCANA</w:t>
        <w:tab/>
        <w:t>See response to Article I, Definition 13 above.</w:t>
      </w:r>
    </w:p>
    <w:p>
      <w:pPr>
        <w:pStyle w:val="BodyTextIndent"/>
        <w:rPr/>
      </w:pPr>
      <w:r>
        <w:rPr/>
      </w:r>
    </w:p>
    <w:p>
      <w:pPr>
        <w:pStyle w:val="BodyTextIndent"/>
        <w:rPr>
          <w:b/>
        </w:rPr>
      </w:pPr>
      <w:r>
        <w:rPr>
          <w:b/>
        </w:rPr>
        <w:t>Section 4.</w:t>
      </w:r>
    </w:p>
    <w:p>
      <w:pPr>
        <w:pStyle w:val="BodyTextIndent"/>
        <w:rPr>
          <w:b/>
        </w:rPr>
      </w:pPr>
      <w:r>
        <w:rPr>
          <w:b/>
        </w:rPr>
      </w:r>
    </w:p>
    <w:p>
      <w:pPr>
        <w:pStyle w:val="BodyTextIndent"/>
        <w:rPr/>
      </w:pPr>
      <w:r>
        <w:rPr/>
        <w:t>SCANA</w:t>
        <w:tab/>
        <w:t>See response to Article I, Definition 13 above.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Article III:</w:t>
      </w:r>
    </w:p>
    <w:p>
      <w:pPr>
        <w:pStyle w:val="BodyTextIndent"/>
        <w:rPr/>
      </w:pPr>
      <w:r>
        <w:rPr/>
      </w:r>
    </w:p>
    <w:p>
      <w:pPr>
        <w:pStyle w:val="BodyTextIndent"/>
        <w:rPr>
          <w:b/>
        </w:rPr>
      </w:pPr>
      <w:r>
        <w:rPr>
          <w:b/>
        </w:rPr>
        <w:t>Section 3.</w:t>
      </w:r>
    </w:p>
    <w:p>
      <w:pPr>
        <w:pStyle w:val="BodyTextIndent"/>
        <w:rPr>
          <w:b/>
        </w:rPr>
      </w:pPr>
      <w:r>
        <w:rPr>
          <w:b/>
        </w:rPr>
      </w:r>
    </w:p>
    <w:p>
      <w:pPr>
        <w:pStyle w:val="BodyTextIndent"/>
        <w:rPr/>
      </w:pPr>
      <w:r>
        <w:rPr/>
        <w:t>SCANA &amp; Shell</w:t>
        <w:tab/>
        <w:t>AGLC will not attempt to tie the GPSC’s hands for implementation of the Stipulation.  We will implement the provisions included in the Stipulation as soon as possible after GPSC approval.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ab/>
        <w:t>AGLC has not agreed to an automatic second year 12 month release of its Non-IBSS Part 284 Services.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Energy America</w:t>
        <w:tab/>
        <w:t>The language refers to the 30% of AGLC assets that are being released to marketers on a monthly basis.  Not to amounts released to individual marketers.</w:t>
      </w:r>
    </w:p>
    <w:p>
      <w:pPr>
        <w:pStyle w:val="BodyTextIndent"/>
        <w:rPr/>
      </w:pPr>
      <w:r>
        <w:rPr/>
      </w:r>
    </w:p>
    <w:p>
      <w:pPr>
        <w:pStyle w:val="BodyTextIndent"/>
        <w:rPr>
          <w:b/>
        </w:rPr>
      </w:pPr>
      <w:r>
        <w:rPr>
          <w:b/>
        </w:rPr>
        <w:t>Section 4.</w:t>
      </w:r>
    </w:p>
    <w:p>
      <w:pPr>
        <w:pStyle w:val="BodyTextIndent"/>
        <w:rPr>
          <w:b/>
        </w:rPr>
      </w:pPr>
      <w:r>
        <w:rPr>
          <w:b/>
        </w:rPr>
      </w:r>
    </w:p>
    <w:p>
      <w:pPr>
        <w:pStyle w:val="BodyTextIndent"/>
        <w:rPr/>
      </w:pPr>
      <w:r>
        <w:rPr/>
        <w:t>Shell &amp; SCANA</w:t>
        <w:tab/>
        <w:t>No determination needs to be made by the GPSC since a marketer either did or did not schedule its DSR.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Shell</w:t>
        <w:tab/>
        <w:t>The 80% requirement has been in the Stipulations since the beginning.  Shell’s request would increase the marketers’ requirements by an additional 10%.  If parties are agreeable to this increase AGLC would make the requested change.</w:t>
      </w:r>
    </w:p>
    <w:p>
      <w:pPr>
        <w:pStyle w:val="BodyTextIndent"/>
        <w:rPr>
          <w:b/>
        </w:rPr>
      </w:pPr>
      <w:r>
        <w:rPr>
          <w:b/>
        </w:rPr>
        <w:t>Section 7.</w:t>
      </w:r>
    </w:p>
    <w:p>
      <w:pPr>
        <w:pStyle w:val="BodyTextIndent"/>
        <w:rPr>
          <w:b/>
        </w:rPr>
      </w:pPr>
      <w:r>
        <w:rPr>
          <w:b/>
        </w:rPr>
      </w:r>
    </w:p>
    <w:p>
      <w:pPr>
        <w:pStyle w:val="BodyTextIndent"/>
        <w:rPr/>
      </w:pPr>
      <w:r>
        <w:rPr/>
        <w:t>Shell &amp; SCANA</w:t>
        <w:tab/>
        <w:t>AGLC must be able to recover any system costs that it incurs as a result of implementing this Stipulation and any other marketer-requested changes.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GNG</w:t>
        <w:tab/>
        <w:t>AGLC is willing to discuss with marketers a procedure that allows changing of receipt points.  Such discussions will be outside of our discussions on this Stipulation in a manner similar to how the issue of unutilized FTNN capacity for the months of February and March was addressed.</w:t>
      </w:r>
    </w:p>
    <w:p>
      <w:pPr>
        <w:pStyle w:val="BodyTextIndent"/>
        <w:rPr/>
      </w:pPr>
      <w:r>
        <w:rPr/>
      </w:r>
    </w:p>
    <w:p>
      <w:pPr>
        <w:pStyle w:val="BodyTextIndent"/>
        <w:rPr>
          <w:b/>
        </w:rPr>
      </w:pPr>
      <w:r>
        <w:rPr>
          <w:b/>
        </w:rPr>
        <w:t>Section 8.</w:t>
      </w:r>
    </w:p>
    <w:p>
      <w:pPr>
        <w:pStyle w:val="BodyTextIndent"/>
        <w:rPr>
          <w:b/>
        </w:rPr>
      </w:pPr>
      <w:r>
        <w:rPr>
          <w:b/>
        </w:rPr>
      </w:r>
    </w:p>
    <w:p>
      <w:pPr>
        <w:pStyle w:val="BodyTextIndent"/>
        <w:rPr/>
      </w:pPr>
      <w:r>
        <w:rPr/>
        <w:t xml:space="preserve">Shell &amp; SCANA </w:t>
        <w:tab/>
        <w:t>The changes that were made reflect discussions from the conference call that was held on January 26.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rPr>
          <w:b/>
        </w:rPr>
      </w:pPr>
      <w:r>
        <w:rPr>
          <w:b/>
        </w:rPr>
        <w:t>Section 11.</w:t>
      </w:r>
    </w:p>
    <w:p>
      <w:pPr>
        <w:pStyle w:val="BodyTextIndent"/>
        <w:rPr>
          <w:b/>
        </w:rPr>
      </w:pPr>
      <w:r>
        <w:rPr>
          <w:b/>
        </w:rPr>
      </w:r>
    </w:p>
    <w:p>
      <w:pPr>
        <w:pStyle w:val="BodyTextIndent"/>
        <w:rPr/>
      </w:pPr>
      <w:r>
        <w:rPr/>
        <w:t>Shell</w:t>
        <w:tab/>
        <w:t>Capacity planning strictly deals with the firm market place.</w:t>
      </w:r>
    </w:p>
    <w:p>
      <w:pPr>
        <w:pStyle w:val="BodyTextIndent"/>
        <w:rPr/>
      </w:pPr>
      <w:r>
        <w:rPr/>
      </w:r>
    </w:p>
    <w:p>
      <w:pPr>
        <w:pStyle w:val="BodyTextIndent"/>
        <w:rPr>
          <w:b/>
        </w:rPr>
      </w:pPr>
      <w:r>
        <w:rPr>
          <w:b/>
        </w:rPr>
        <w:t>Section 12.</w:t>
      </w:r>
    </w:p>
    <w:p>
      <w:pPr>
        <w:pStyle w:val="BodyTextIndent"/>
        <w:rPr>
          <w:b/>
        </w:rPr>
      </w:pPr>
      <w:r>
        <w:rPr>
          <w:b/>
        </w:rPr>
      </w:r>
    </w:p>
    <w:p>
      <w:pPr>
        <w:pStyle w:val="BodyTextIndent"/>
        <w:rPr/>
      </w:pPr>
      <w:r>
        <w:rPr/>
        <w:t>SCANA</w:t>
        <w:tab/>
        <w:t>Needs further discussion and clarification with the pipelines.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Article V: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>
          <w:b/>
        </w:rPr>
        <w:t>Section 5.</w:t>
      </w:r>
      <w:r>
        <w:rPr/>
        <w:tab/>
        <w:t>This section was a carry over from the initial draft stipulation that involved the permanent assignment of a portion of IBSS.  This section is not needed at this time.</w:t>
      </w:r>
    </w:p>
    <w:p>
      <w:pPr>
        <w:pStyle w:val="BodyTextIndent"/>
        <w:rPr>
          <w:b/>
        </w:rPr>
      </w:pPr>
      <w:r>
        <w:rPr>
          <w:b/>
        </w:rPr>
      </w:r>
    </w:p>
    <w:p>
      <w:pPr>
        <w:pStyle w:val="BodyTextIndent"/>
        <w:rPr>
          <w:b/>
        </w:rPr>
      </w:pPr>
      <w:r>
        <w:rPr>
          <w:b/>
        </w:rPr>
      </w:r>
    </w:p>
    <w:p>
      <w:pPr>
        <w:pStyle w:val="BodyTextInden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880" w:start="2880" w:end="0"/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2000-01-31T21:19:00Z</dcterms:created>
  <dc:creator>Atlanta Gas Light</dc:creator>
  <dc:description/>
  <dc:language>en-CA</dc:language>
  <cp:lastModifiedBy>James William Scabareti</cp:lastModifiedBy>
  <dcterms:modified xsi:type="dcterms:W3CDTF">2000-01-31T21:19:00Z</dcterms:modified>
  <cp:revision>2</cp:revision>
  <dc:subject/>
  <dc:title>January 31, 2000</dc:title>
</cp:coreProperties>
</file>