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05/31/2001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PG&amp;E ENERGY TRADING – POWER, L.P., a limited partnership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and with respect to Party B’s Credit Support Provider, U.S. $50,000,000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limited partnership organized under the laws of the State of Delaware.</w:t>
      </w:r>
    </w:p>
    <w:p>
      <w:pPr>
        <w:pStyle w:val="Normal"/>
        <w:spacing w:lineRule="exact" w:line="240" w:before="240" w:after="0"/>
        <w:jc w:val="both"/>
        <w:rPr>
          <w:b/>
          <w:bCs/>
          <w:sz w:val="22"/>
          <w:szCs w:val="22"/>
        </w:rPr>
      </w:pPr>
      <w:r>
        <w:rPr>
          <w:b/>
          <w:bCs/>
          <w:sz w:val="22"/>
          <w:szCs w:val="22"/>
        </w:rPr>
      </w:r>
    </w:p>
    <w:p>
      <w:pPr>
        <w:pStyle w:val="Normal"/>
        <w:spacing w:lineRule="exact" w:line="240" w:before="24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 and Party B</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keepNext w:val="true"/>
              <w:spacing w:lineRule="atLeast" w:line="240" w:before="240" w:after="0"/>
              <w:jc w:val="both"/>
              <w:rPr>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limited partnership and partnership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120 days after the end of each fiscal year of Party B</w:t>
            </w:r>
            <w:r>
              <w:rPr>
                <w:rFonts w:cs="Times New Roman" w:ascii="Times New Roman" w:hAnsi="Times New Roman"/>
                <w:color w:val="FF0000"/>
              </w:rPr>
              <w:t xml:space="preserve"> </w:t>
            </w:r>
            <w:r>
              <w:rPr>
                <w:rFonts w:cs="Times New Roman" w:ascii="Times New Roman" w:hAnsi="Times New Roman"/>
              </w:rPr>
              <w:t>and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 and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PG&amp;E Energy Trading – Power, L.P.</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February 2, 2001 by Enron Corp. in favor of Party B and others as beneficiaries thereof, a copy of which is attached hereto as </w:t>
      </w:r>
      <w:r>
        <w:rPr>
          <w:sz w:val="22"/>
          <w:szCs w:val="22"/>
          <w:u w:val="single"/>
        </w:rPr>
        <w:t>Exhibit A</w:t>
      </w:r>
      <w:r>
        <w:rPr>
          <w:sz w:val="22"/>
          <w:szCs w:val="22"/>
        </w:rPr>
        <w:t xml:space="preserve">, ratified in form and substance satisfactory to Party B, (ii) Guaranty dated as of February 2, 2001 by PG&amp;E National Energy Group, Inc. and PG&amp;E Energy Trading Holdings Corporation in favor of Party A and others as beneficiaries thereof, a copy of which is attached hereto as </w:t>
      </w:r>
      <w:r>
        <w:rPr>
          <w:sz w:val="22"/>
          <w:szCs w:val="22"/>
          <w:u w:val="single"/>
        </w:rPr>
        <w:t>Exhibit B</w:t>
      </w:r>
      <w:r>
        <w:rPr>
          <w:sz w:val="22"/>
          <w:szCs w:val="22"/>
        </w:rPr>
        <w:t xml:space="preserve">, ratified in form and substance satisfactory to Party A, (iii) ratification and amendment to, and extension of, that certain Master Netting, Setoff, and Security Agreement dated February 2, 2001 by and among Party A, Party B, and other parties to such agreement in form and substance satisfactory to Party A and Party B, and (iv)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collectively PG&amp;E National Energy Group, Inc. and PG&amp;E Energy Trading Holdings Corporation.</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lenders, or prospective permitted assignees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PG&amp;E National Energy Group, Inc. and PG&amp;E Energy Trading Holdings Corporation, with respect to Party B, pursuant to a guaranty substantially similar to the one provided on behalf of Party A and Party B hereunder, provided that such transfer will not give rise to a Termination Event or an Event of Default.  No such assignment shall relieve the assigning party of its obligations under this Agreement unless the other party hereto shall agree in writing to release the assigning party from such obligations.”</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br w:type="page"/>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PG&amp;E ENERGY TRADING – POWER, L.P.,</w:t>
            </w:r>
          </w:p>
          <w:p>
            <w:pPr>
              <w:pStyle w:val="Normal"/>
              <w:keepNext w:val="true"/>
              <w:spacing w:lineRule="exact" w:line="240"/>
              <w:jc w:val="both"/>
              <w:rPr>
                <w:b/>
                <w:bCs/>
                <w:sz w:val="22"/>
                <w:szCs w:val="22"/>
              </w:rPr>
            </w:pPr>
            <w:r>
              <w:rPr>
                <w:b/>
                <w:bCs/>
                <w:sz w:val="22"/>
                <w:szCs w:val="22"/>
              </w:rPr>
              <w:t>by its General Partner</w:t>
            </w:r>
          </w:p>
          <w:p>
            <w:pPr>
              <w:pStyle w:val="Normal"/>
              <w:keepNext w:val="true"/>
              <w:spacing w:lineRule="exact" w:line="240"/>
              <w:jc w:val="both"/>
              <w:rPr>
                <w:b/>
                <w:bCs/>
                <w:sz w:val="22"/>
                <w:szCs w:val="22"/>
              </w:rPr>
            </w:pPr>
            <w:r>
              <w:rPr>
                <w:b/>
                <w:bCs/>
                <w:sz w:val="22"/>
                <w:szCs w:val="22"/>
              </w:rPr>
              <w:t>PG&amp;E ENERGY TRADING HOLDINGS CORPORATION</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PRIOR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PRIOR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PG&amp;E ENERGY TRADING – POWER, L.P., a limited partnership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$100,000,000 and with respect to Party B, U.S. $0; provided, however, that the Threshold for a party shall be zero upon the occurrence and during the continuance of a Material Adverse Change </w:t>
      </w:r>
      <w:r>
        <w:rPr>
          <w:sz w:val="22"/>
          <w:szCs w:val="22"/>
        </w:rPr>
        <w:t xml:space="preserve">(as defined herein, or as defined in any master netting agreement applicable hereto and which definition may govern from time to time) </w:t>
      </w:r>
      <w:r>
        <w:rPr>
          <w:color w:val="000000"/>
          <w:sz w:val="22"/>
          <w:szCs w:val="22"/>
        </w:rPr>
        <w:t>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(as defined herein, or as defined in any master netting agreement applicable hereto and which definition may govern from time to time)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(as defined herein, or as defined in any master netting agreement applicable hereto and which definition may govern from time to time)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w:t>
      </w:r>
      <w:r>
        <w:rPr>
          <w:sz w:val="22"/>
          <w:szCs w:val="22"/>
        </w:rPr>
        <w:t>or below “Baa3” by Moody’s or its Credit Support Provider fails to have a Credit Rating from S&amp;P or Moody’s; or (b) with respect to Party B, either of its Credit Support Providers’ Credit Rating is below “BBB-” by S&amp;P or below “Baa3” by Moody’s or either of its Credit Support Providers fails to have a Credit Rating from S&amp;P or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tabs>
          <w:tab w:val="left" w:pos="720" w:leader="none"/>
        </w:tabs>
        <w:spacing w:lineRule="atLeast" w:line="240" w:before="240" w:after="0"/>
        <w:ind w:start="720" w:end="0"/>
        <w:jc w:val="both"/>
        <w:rPr/>
      </w:pPr>
      <w:r>
        <w:rPr>
          <w:sz w:val="22"/>
          <w:szCs w:val="22"/>
        </w:rPr>
        <w:t>(iv)</w:t>
        <w:tab/>
        <w:t>Upon the occurrence of a Material Adverse Change (as defined herein, or as defined in any master netting agreement applicable hereto and which definition may govern from time to time) with respect to Party B, Party B shall provide (or shall cause to be provided) to Party A within one Local Business Day of Party A’s written demand therefor Eligible Credit Support</w:t>
      </w:r>
      <w:r>
        <w:rPr>
          <w:color w:val="FF0000"/>
          <w:sz w:val="22"/>
          <w:szCs w:val="22"/>
        </w:rPr>
        <w:t xml:space="preserve"> </w:t>
      </w:r>
      <w:r>
        <w:rPr>
          <w:sz w:val="22"/>
          <w:szCs w:val="22"/>
        </w:rPr>
        <w:t xml:space="preserve">in an amount satisfactory to Party A in its sole discretion. </w:t>
      </w:r>
      <w:r>
        <w:rPr>
          <w:rStyle w:val="FootnoteCharacters"/>
          <w:sz w:val="22"/>
        </w:rPr>
        <w:t xml:space="preserve"> </w:t>
      </w:r>
      <w:r>
        <w:rPr>
          <w:sz w:val="22"/>
        </w:rPr>
        <w:t>Eligible Credit Support provided in accordance with this provision</w:t>
      </w:r>
      <w:r>
        <w:rPr>
          <w:sz w:val="22"/>
          <w:szCs w:val="22"/>
        </w:rPr>
        <w:t xml:space="preserve"> shall be in addition to Eligible Credit Support otherwise required under this Annex A, but it shall be otherwise administered under this Annex A.</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Heading7"/>
        <w:ind w:hanging="0" w:start="0"/>
        <w:rPr/>
      </w:pPr>
      <w:r>
        <w:rPr/>
        <w:t>EXHIBIT A</w:t>
      </w:r>
    </w:p>
    <w:p>
      <w:pPr>
        <w:pStyle w:val="Normal"/>
        <w:tabs>
          <w:tab w:val="clear" w:pos="720"/>
          <w:tab w:val="left" w:pos="1080" w:leader="none"/>
        </w:tabs>
        <w:jc w:val="center"/>
        <w:rPr>
          <w:b/>
          <w:bCs/>
          <w:sz w:val="22"/>
          <w:u w:val="single"/>
        </w:rPr>
      </w:pPr>
      <w:r>
        <w:rPr>
          <w:b/>
          <w:bCs/>
          <w:sz w:val="22"/>
          <w:u w:val="single"/>
        </w:rPr>
      </w:r>
    </w:p>
    <w:p>
      <w:pPr>
        <w:pStyle w:val="Normal"/>
        <w:tabs>
          <w:tab w:val="clear" w:pos="720"/>
          <w:tab w:val="left" w:pos="1080" w:leader="none"/>
        </w:tabs>
        <w:jc w:val="center"/>
        <w:rPr/>
      </w:pPr>
      <w:r>
        <w:rPr>
          <w:b/>
          <w:bCs/>
          <w:sz w:val="22"/>
        </w:rPr>
        <w:t xml:space="preserve">ENRON CORP. GUARANTY dated </w:t>
      </w:r>
      <w:r>
        <w:rPr>
          <w:b/>
          <w:bCs/>
          <w:sz w:val="22"/>
          <w:u w:val="single"/>
        </w:rPr>
        <w:tab/>
      </w:r>
      <w:r>
        <w:rPr>
          <w:b/>
          <w:bCs/>
          <w:sz w:val="22"/>
        </w:rPr>
        <w:t>February 2, 2001</w:t>
      </w:r>
    </w:p>
    <w:p>
      <w:pPr>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pStyle w:val="Normal"/>
        <w:tabs>
          <w:tab w:val="clear" w:pos="720"/>
          <w:tab w:val="left" w:pos="1080" w:leader="none"/>
        </w:tabs>
        <w:jc w:val="center"/>
        <w:rPr>
          <w:b/>
          <w:bCs/>
          <w:sz w:val="22"/>
        </w:rPr>
      </w:pPr>
      <w:r>
        <w:rPr>
          <w:b/>
          <w:bCs/>
          <w:sz w:val="22"/>
        </w:rPr>
      </w:r>
    </w:p>
    <w:p>
      <w:pPr>
        <w:pStyle w:val="Heading7"/>
        <w:spacing w:lineRule="auto" w:line="240"/>
        <w:ind w:hanging="0" w:start="0"/>
        <w:rPr/>
      </w:pPr>
      <w:r>
        <w:rPr/>
        <w:t>EXHIBIT B</w:t>
      </w:r>
    </w:p>
    <w:p>
      <w:pPr>
        <w:pStyle w:val="Normal"/>
        <w:tabs>
          <w:tab w:val="clear" w:pos="720"/>
          <w:tab w:val="left" w:pos="1080" w:leader="none"/>
        </w:tabs>
        <w:jc w:val="center"/>
        <w:rPr>
          <w:b/>
          <w:bCs/>
          <w:sz w:val="22"/>
        </w:rPr>
      </w:pPr>
      <w:r>
        <w:rPr>
          <w:b/>
          <w:bCs/>
          <w:sz w:val="22"/>
        </w:rPr>
      </w:r>
    </w:p>
    <w:p>
      <w:pPr>
        <w:pStyle w:val="Normal"/>
        <w:tabs>
          <w:tab w:val="clear" w:pos="720"/>
          <w:tab w:val="left" w:pos="1080" w:leader="none"/>
        </w:tabs>
        <w:jc w:val="center"/>
        <w:rPr>
          <w:b/>
          <w:bCs/>
          <w:sz w:val="22"/>
        </w:rPr>
      </w:pPr>
      <w:r>
        <w:rPr>
          <w:b/>
          <w:bCs/>
          <w:sz w:val="22"/>
        </w:rPr>
        <w:t xml:space="preserve">PG&amp;E NATIONAL ENERGY GROUP, INC. </w:t>
      </w:r>
    </w:p>
    <w:p>
      <w:pPr>
        <w:pStyle w:val="Normal"/>
        <w:tabs>
          <w:tab w:val="clear" w:pos="720"/>
          <w:tab w:val="left" w:pos="1080" w:leader="none"/>
        </w:tabs>
        <w:jc w:val="center"/>
        <w:rPr>
          <w:b/>
          <w:bCs/>
          <w:sz w:val="22"/>
        </w:rPr>
      </w:pPr>
      <w:r>
        <w:rPr>
          <w:b/>
          <w:bCs/>
          <w:sz w:val="22"/>
        </w:rPr>
        <w:t xml:space="preserve">AND </w:t>
      </w:r>
    </w:p>
    <w:p>
      <w:pPr>
        <w:pStyle w:val="Normal"/>
        <w:tabs>
          <w:tab w:val="clear" w:pos="720"/>
          <w:tab w:val="left" w:pos="1080" w:leader="none"/>
        </w:tabs>
        <w:jc w:val="center"/>
        <w:rPr>
          <w:b/>
          <w:bCs/>
          <w:sz w:val="22"/>
        </w:rPr>
      </w:pPr>
      <w:r>
        <w:rPr>
          <w:b/>
          <w:bCs/>
          <w:sz w:val="22"/>
        </w:rPr>
        <w:t xml:space="preserve">PG&amp;E ENERGY TRADING HOLDINGS CORPORATION GUARANTY </w:t>
      </w:r>
    </w:p>
    <w:p>
      <w:pPr>
        <w:pStyle w:val="Normal"/>
        <w:tabs>
          <w:tab w:val="clear" w:pos="720"/>
          <w:tab w:val="left" w:pos="1080" w:leader="none"/>
        </w:tabs>
        <w:jc w:val="center"/>
        <w:rPr>
          <w:b/>
          <w:bCs/>
          <w:sz w:val="22"/>
        </w:rPr>
      </w:pPr>
      <w:r>
        <w:rPr>
          <w:b/>
          <w:bCs/>
          <w:sz w:val="22"/>
        </w:rPr>
        <w:t>dated February 2, 2001</w:t>
      </w:r>
    </w:p>
    <w:sectPr>
      <w:headerReference w:type="default" r:id="rId16"/>
      <w:headerReference w:type="first" r:id="rId17"/>
      <w:footerReference w:type="default" r:id="rId18"/>
      <w:footerReference w:type="first" r:id="rId19"/>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/mnt/main-storage/datasets/enron-docs/doc/130Actr_pg_e_power_.doc</w:t>
    </w:r>
    <w:r>
      <w:rPr>
        <w:rStyle w:val="PageNumber"/>
        <w:sz w:val="12"/>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/mnt/main-storage/datasets/enron-docs/doc/130Actr_pg_e_power_.doc</w:t>
    </w:r>
    <w:r>
      <w:rPr>
        <w:sz w:val="12"/>
        <w:szCs w:val="16"/>
      </w:rPr>
      <w:fldChar w:fldCharType="end"/>
    </w:r>
  </w:p>
  <w:p>
    <w:pPr>
      <w:pStyle w:val="Footer"/>
      <w:rPr>
        <w:sz w:val="8"/>
        <w:szCs w:val="8"/>
      </w:rPr>
    </w:pPr>
    <w:r>
      <w:rPr>
        <w:sz w:val="8"/>
        <w:szCs w:val="8"/>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/mnt/main-storage/datasets/enron-docs/doc/130Actr_pg_e_power_.doc</w:t>
    </w:r>
    <w:r>
      <w:rPr>
        <w:sz w:val="12"/>
        <w:szCs w:val="16"/>
      </w:rPr>
      <w:fldChar w:fldCharType="end"/>
    </w:r>
  </w:p>
  <w:p>
    <w:pPr>
      <w:pStyle w:val="Footer"/>
      <w:rPr>
        <w:sz w:val="12"/>
        <w:szCs w:val="16"/>
      </w:rPr>
    </w:pPr>
    <w:r>
      <w:rPr>
        <w:sz w:val="12"/>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/mnt/main-storage/datasets/enron-docs/doc/130Actr_pg_e_power_.doc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/mnt/main-storage/datasets/enron-docs/doc/130Actr_pg_e_power_.doc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/mnt/main-storage/datasets/enron-docs/doc/130Actr_pg_e_power_.doc</w:t>
    </w:r>
    <w:r>
      <w:rPr>
        <w:sz w:val="12"/>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7">
    <w:name w:val="heading 7"/>
    <w:basedOn w:val="Normal"/>
    <w:next w:val="Normal"/>
    <w:qFormat/>
    <w:pPr>
      <w:keepNext w:val="true"/>
      <w:numPr>
        <w:ilvl w:val="6"/>
        <w:numId w:val="1"/>
      </w:numPr>
      <w:tabs>
        <w:tab w:val="clear" w:pos="720"/>
        <w:tab w:val="left" w:pos="1080" w:leader="none"/>
      </w:tabs>
      <w:spacing w:lineRule="exact" w:line="480"/>
      <w:jc w:val="center"/>
      <w:outlineLvl w:val="6"/>
    </w:pPr>
    <w:rPr>
      <w:b/>
      <w:bCs/>
      <w:sz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2001-05-22T15:46:00Z</dcterms:created>
  <dc:creator>mheard</dc:creator>
  <dc:description/>
  <dc:language>en-CA</dc:language>
  <cp:lastModifiedBy>mcook</cp:lastModifiedBy>
  <cp:lastPrinted>2001-06-01T11:34:00Z</cp:lastPrinted>
  <dcterms:modified xsi:type="dcterms:W3CDTF">2001-06-01T14:04:00Z</dcterms:modified>
  <cp:revision>17</cp:revision>
  <dc:subject/>
  <dc:title>ISDA Multicurrency Agreement</dc:title>
</cp:coreProperties>
</file>