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fldChar w:fldCharType="begin"/>
      </w:r>
      <w:r>
        <w:rPr>
          <w:rFonts w:cs="CG Times" w:ascii="CG Times" w:hAnsi="CG Times"/>
        </w:rPr>
        <w:instrText xml:space="preserve">ADVANCE \y 61</w:instrText>
      </w:r>
      <w:r>
        <w:rPr>
          <w:rFonts w:cs="CG Times" w:ascii="CG Times" w:hAnsi="CG Times"/>
        </w:rPr>
      </w:r>
      <w:r>
        <w:rPr>
          <w:rFonts w:cs="CG Times" w:ascii="CG Times" w:hAnsi="CG Times"/>
        </w:rPr>
        <w:fldChar w:fldCharType="separate"/>
      </w:r>
      <w:r>
        <w:rPr>
          <w:rFonts w:cs="CG Times" w:ascii="CG Times" w:hAnsi="CG Times"/>
        </w:rPr>
      </w:r>
      <w:r>
        <w:rPr>
          <w:rFonts w:cs="CG Times" w:ascii="CG Times" w:hAnsi="CG Times"/>
        </w:rPr>
      </w:r>
      <w:r>
        <w:rPr>
          <w:rFonts w:cs="CG Times" w:ascii="CG Times" w:hAnsi="CG Times"/>
        </w:rPr>
        <w:fldChar w:fldCharType="end"/>
      </w:r>
      <w:r>
        <w:rPr>
          <w:rFonts w:cs="CG Times" w:ascii="CG Times" w:hAnsi="CG Times"/>
          <w:smallCaps/>
          <w:sz w:val="38"/>
        </w:rPr>
        <w:t xml:space="preserve">Stoel Rives </w:t>
      </w:r>
      <w:r>
        <w:rPr>
          <w:rFonts w:cs="CG Times" w:ascii="CG Times" w:hAnsi="CG Times"/>
          <w:smallCaps/>
        </w:rPr>
        <w:t>llp</w:t>
      </w:r>
    </w:p>
    <w:p>
      <w:pPr>
        <w:pStyle w:val="Normal"/>
        <w:jc w:val="center"/>
        <w:rPr>
          <w:rFonts w:ascii="CG Times" w:hAnsi="CG Times" w:cs="CG Times"/>
          <w:smallCaps/>
        </w:rPr>
      </w:pPr>
      <w:r>
        <w:rPr>
          <w:rFonts w:cs="CG Times" w:ascii="CG Times" w:hAnsi="CG Times"/>
          <w:smallCaps/>
        </w:rPr>
        <mc:AlternateContent>
          <mc:Choice Requires="wps">
            <w:drawing>
              <wp:anchor behindDoc="0" distT="0" distB="0" distL="114935" distR="114935" simplePos="0" locked="0" layoutInCell="1" allowOverlap="1" relativeHeight="5">
                <wp:simplePos x="0" y="0"/>
                <wp:positionH relativeFrom="column">
                  <wp:posOffset>2103120</wp:posOffset>
                </wp:positionH>
                <wp:positionV relativeFrom="paragraph">
                  <wp:posOffset>-3175</wp:posOffset>
                </wp:positionV>
                <wp:extent cx="1737360" cy="0"/>
                <wp:effectExtent l="0" t="5080" r="0" b="5080"/>
                <wp:wrapNone/>
                <wp:docPr id="1"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0.25pt" to="302.35pt,-0.25pt" stroked="t" o:allowincell="f" style="position:absolute">
                <v:stroke color="black" weight="9360" joinstyle="miter" endcap="flat"/>
                <v:fill o:detectmouseclick="t" on="false"/>
                <w10:wrap type="none"/>
              </v:line>
            </w:pict>
          </mc:Fallback>
        </mc:AlternateContent>
      </w:r>
    </w:p>
    <w:p>
      <w:pPr>
        <w:pStyle w:val="Normal"/>
        <w:jc w:val="center"/>
        <w:rPr>
          <w:rFonts w:ascii="CG Times" w:hAnsi="CG Times" w:cs="CG Times"/>
          <w:b/>
          <w:smallCaps/>
          <w:sz w:val="32"/>
        </w:rPr>
      </w:pPr>
      <w:r>
        <w:rPr>
          <w:rFonts w:cs="CG Times" w:ascii="CG Times" w:hAnsi="CG Times"/>
          <w:b/>
          <w:smallCaps/>
          <w:sz w:val="32"/>
        </w:rPr>
        <w:t>M e m o r a n d u m</w:t>
      </w:r>
    </w:p>
    <w:p>
      <w:pPr>
        <w:pStyle w:val="Normal"/>
        <w:jc w:val="center"/>
        <w:rPr>
          <w:rFonts w:ascii="CG Times" w:hAnsi="CG Times" w:cs="CG Times"/>
          <w:b/>
          <w:smallCaps/>
          <w:sz w:val="32"/>
        </w:rPr>
      </w:pPr>
      <w:r>
        <w:rPr>
          <w:rFonts w:cs="CG Times" w:ascii="CG Times" w:hAnsi="CG Times"/>
          <w:b/>
          <w:smallCaps/>
          <w:sz w:val="32"/>
        </w:rPr>
      </w:r>
    </w:p>
    <w:p>
      <w:pPr>
        <w:pStyle w:val="Normal"/>
        <w:jc w:val="center"/>
        <w:rPr/>
      </w:pPr>
      <w:r>
        <w:fldChar w:fldCharType="begin"/>
      </w:r>
      <w:r>
        <w:rPr>
          <w:rFonts w:cs="CG Times" w:ascii="CG Times" w:hAnsi="CG Times"/>
        </w:rPr>
        <w:instrText xml:space="preserve">ADVANCE \y 144</w:instrText>
      </w:r>
      <w:r>
        <w:rPr>
          <w:rFonts w:cs="CG Times" w:ascii="CG Times" w:hAnsi="CG Times"/>
        </w:rPr>
      </w:r>
      <w:r>
        <w:rPr>
          <w:rFonts w:cs="CG Times" w:ascii="CG Times" w:hAnsi="CG Times"/>
        </w:rPr>
        <w:fldChar w:fldCharType="separate"/>
      </w:r>
      <w:r>
        <w:rPr>
          <w:rFonts w:cs="CG Times" w:ascii="CG Times" w:hAnsi="CG Times"/>
        </w:rPr>
      </w:r>
      <w:r>
        <w:rPr>
          <w:rFonts w:cs="CG Times" w:ascii="CG Times" w:hAnsi="CG Times"/>
        </w:rPr>
      </w:r>
      <w:r>
        <w:rPr>
          <w:rFonts w:cs="CG Times" w:ascii="CG Times" w:hAnsi="CG Times"/>
        </w:rPr>
        <w:fldChar w:fldCharType="end"/>
      </w:r>
      <w:r>
        <w:rPr>
          <w:rFonts w:cs="CG Times" w:ascii="CG Times" w:hAnsi="CG Times"/>
        </w:rPr>
        <w:t xml:space="preserve">July 10, 2000 </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tbl>
      <w:tblPr>
        <w:tblW w:w="9360" w:type="dxa"/>
        <w:jc w:val="start"/>
        <w:tblInd w:w="120" w:type="dxa"/>
        <w:tblLayout w:type="fixed"/>
        <w:tblCellMar>
          <w:top w:w="0" w:type="dxa"/>
          <w:start w:w="120" w:type="dxa"/>
          <w:bottom w:w="0" w:type="dxa"/>
          <w:end w:w="120" w:type="dxa"/>
        </w:tblCellMar>
      </w:tblPr>
      <w:tblGrid>
        <w:gridCol w:w="1080"/>
        <w:gridCol w:w="8280"/>
      </w:tblGrid>
      <w:tr>
        <w:trPr>
          <w:trHeight w:val="403" w:hRule="atLeast"/>
        </w:trPr>
        <w:tc>
          <w:tcPr>
            <w:tcW w:w="1080" w:type="dxa"/>
            <w:tcBorders/>
          </w:tcPr>
          <w:p>
            <w:pPr>
              <w:pStyle w:val="Normal"/>
              <w:rPr/>
            </w:pPr>
            <w:r>
              <w:fldChar w:fldCharType="begin"/>
            </w:r>
            <w:r>
              <w:rPr>
                <w:rFonts w:cs="CG Times" w:ascii="CG Times" w:hAnsi="CG Times"/>
              </w:rPr>
              <w:instrText xml:space="preserve">ADVANCE \y 180</w:instrText>
            </w:r>
            <w:r>
              <w:rPr>
                <w:rFonts w:cs="CG Times" w:ascii="CG Times" w:hAnsi="CG Times"/>
              </w:rPr>
            </w:r>
            <w:r>
              <w:rPr>
                <w:rFonts w:cs="CG Times" w:ascii="CG Times" w:hAnsi="CG Times"/>
              </w:rPr>
              <w:fldChar w:fldCharType="separate"/>
            </w:r>
            <w:r>
              <w:rPr>
                <w:rFonts w:cs="CG Times" w:ascii="CG Times" w:hAnsi="CG Times"/>
              </w:rPr>
            </w:r>
            <w:r>
              <w:rPr>
                <w:rFonts w:cs="CG Times" w:ascii="CG Times" w:hAnsi="CG Times"/>
              </w:rPr>
            </w:r>
            <w:r>
              <w:rPr>
                <w:rFonts w:cs="CG Times" w:ascii="CG Times" w:hAnsi="CG Times"/>
              </w:rPr>
              <w:fldChar w:fldCharType="end"/>
            </w:r>
            <w:r>
              <w:rPr>
                <w:rFonts w:cs="CG Times" w:ascii="CG Times" w:hAnsi="CG Times"/>
              </w:rPr>
              <w:t>TO:</w:t>
            </w:r>
          </w:p>
        </w:tc>
        <w:tc>
          <w:tcPr>
            <w:tcW w:w="8280" w:type="dxa"/>
            <w:tcBorders/>
          </w:tcPr>
          <w:p>
            <w:pPr>
              <w:pStyle w:val="Normal"/>
              <w:rPr>
                <w:rFonts w:ascii="CG Times" w:hAnsi="CG Times" w:cs="CG Times"/>
              </w:rPr>
            </w:pPr>
            <w:r>
              <w:rPr>
                <w:rFonts w:cs="CG Times" w:ascii="CG Times" w:hAnsi="CG Times"/>
              </w:rPr>
              <w:t>Members of RTO Legal Subgroup B (Public Participation, TCAs and Existing Contracts)</w:t>
            </w:r>
          </w:p>
        </w:tc>
      </w:tr>
      <w:tr>
        <w:trPr>
          <w:trHeight w:val="403" w:hRule="atLeast"/>
        </w:trPr>
        <w:tc>
          <w:tcPr>
            <w:tcW w:w="1080" w:type="dxa"/>
            <w:tcBorders/>
          </w:tcPr>
          <w:p>
            <w:pPr>
              <w:pStyle w:val="Normal"/>
              <w:rPr>
                <w:rFonts w:ascii="CG Times" w:hAnsi="CG Times" w:cs="CG Times"/>
              </w:rPr>
            </w:pPr>
            <w:r>
              <w:rPr>
                <w:rFonts w:cs="CG Times" w:ascii="CG Times" w:hAnsi="CG Times"/>
              </w:rPr>
              <w:t>FROM:</w:t>
            </w:r>
          </w:p>
        </w:tc>
        <w:tc>
          <w:tcPr>
            <w:tcW w:w="8280" w:type="dxa"/>
            <w:tcBorders/>
          </w:tcPr>
          <w:p>
            <w:pPr>
              <w:pStyle w:val="Normal"/>
              <w:rPr>
                <w:rFonts w:ascii="CG Times" w:hAnsi="CG Times" w:cs="CG Times"/>
              </w:rPr>
            </w:pPr>
            <w:r>
              <w:rPr>
                <w:rFonts w:cs="CG Times" w:ascii="CG Times" w:hAnsi="CG Times"/>
              </w:rPr>
              <w:t>Marcus Wood</w:t>
            </w:r>
          </w:p>
        </w:tc>
      </w:tr>
      <w:tr>
        <w:trPr>
          <w:trHeight w:val="403" w:hRule="atLeast"/>
        </w:trPr>
        <w:tc>
          <w:tcPr>
            <w:tcW w:w="1080" w:type="dxa"/>
            <w:tcBorders>
              <w:bottom w:val="single" w:sz="6" w:space="0" w:color="000000"/>
            </w:tcBorders>
          </w:tcPr>
          <w:p>
            <w:pPr>
              <w:pStyle w:val="Normal"/>
              <w:rPr>
                <w:rFonts w:ascii="CG Times" w:hAnsi="CG Times" w:cs="CG Times"/>
              </w:rPr>
            </w:pPr>
            <w:r>
              <w:rPr>
                <w:rFonts w:cs="CG Times" w:ascii="CG Times" w:hAnsi="CG Times"/>
              </w:rPr>
              <w:t>RE:</w:t>
            </w:r>
          </w:p>
        </w:tc>
        <w:tc>
          <w:tcPr>
            <w:tcW w:w="8280" w:type="dxa"/>
            <w:tcBorders>
              <w:bottom w:val="single" w:sz="6" w:space="0" w:color="000000"/>
            </w:tcBorders>
          </w:tcPr>
          <w:p>
            <w:pPr>
              <w:pStyle w:val="Normal"/>
              <w:rPr>
                <w:rFonts w:ascii="CG Times" w:hAnsi="CG Times" w:cs="CG Times"/>
              </w:rPr>
            </w:pPr>
            <w:r>
              <w:rPr>
                <w:rFonts w:cs="CG Times" w:ascii="CG Times" w:hAnsi="CG Times"/>
              </w:rPr>
              <w:t>Delegation of Category C Issues to Other Workgroups</w:t>
            </w:r>
          </w:p>
        </w:tc>
      </w:tr>
    </w:tbl>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At the Legal Workgroup meeting on June 27, I undertook to provide a description of the specific information our subgroup needed from other RTO workgroups in connection with review and revision of the Transmission Control Agreement.  Based on this memorandum, as corrected by your comments, Barney Speckman will be undertaking the coordination needed to obtain the information we need.  WOULD YOU PLEASE LET ME KNOW BY NOON THURSDAY, JULY 13, OF ANY REVISIONS I SHOULD MAKE TO THIS MEMORANDUM BEFORE BARNEY BEGINS TO RELY ON IT?</w:t>
      </w:r>
    </w:p>
    <w:p>
      <w:pPr>
        <w:pStyle w:val="Normal"/>
        <w:rPr>
          <w:rFonts w:ascii="CG Times" w:hAnsi="CG Times" w:cs="CG Times"/>
        </w:rPr>
      </w:pPr>
      <w:r>
        <w:rPr>
          <w:rFonts w:cs="CG Times" w:ascii="CG Times" w:hAnsi="CG Times"/>
        </w:rPr>
      </w:r>
    </w:p>
    <w:p>
      <w:pPr>
        <w:pStyle w:val="Normal"/>
        <w:rPr/>
      </w:pPr>
      <w:r>
        <w:rPr>
          <w:rFonts w:cs="CG Times" w:ascii="CG Times" w:hAnsi="CG Times"/>
        </w:rPr>
        <w:t xml:space="preserve">PLEASE NOTE that some of the category C comments apply to more than one section of the TCA.  If under the discussion of one section of the TCA, I outline information that applies to multiple sections of the TCA, I have </w:t>
      </w:r>
      <w:r>
        <w:rPr>
          <w:rFonts w:cs="CG Times" w:ascii="CG Times" w:hAnsi="CG Times"/>
          <w:u w:val="single"/>
        </w:rPr>
        <w:t>not</w:t>
      </w:r>
      <w:r>
        <w:rPr>
          <w:rFonts w:cs="CG Times" w:ascii="CG Times" w:hAnsi="CG Times"/>
        </w:rPr>
        <w:t xml:space="preserve"> repeated such information in the discussion of the other relevant TCA sections.</w:t>
      </w:r>
    </w:p>
    <w:p>
      <w:pPr>
        <w:pStyle w:val="Normal"/>
        <w:rPr>
          <w:rFonts w:ascii="CG Times" w:hAnsi="CG Times" w:cs="CG Times"/>
        </w:rPr>
      </w:pPr>
      <w:r>
        <w:rPr>
          <w:rFonts w:cs="CG Times" w:ascii="CG Times" w:hAnsi="CG Times"/>
        </w:rPr>
      </w:r>
    </w:p>
    <w:p>
      <w:pPr>
        <w:pStyle w:val="Normal"/>
        <w:rPr/>
      </w:pPr>
      <w:r>
        <w:rPr>
          <w:rFonts w:cs="CG Times" w:ascii="CG Times" w:hAnsi="CG Times"/>
          <w:u w:val="single"/>
        </w:rPr>
        <w:t>TCA Section 4 -- Integration and Physical Interconnections</w:t>
      </w:r>
      <w:r>
        <w:rPr>
          <w:rFonts w:cs="CG Times" w:ascii="CG Times" w:hAnsi="CG Times"/>
        </w:rPr>
        <w:t>:</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From the participating transmission owners (for discussion in an appropriate workgroup before a consensus is sent to the legal subgroups working on the TCA and on the Generation Integration Agreement):  (1) If generation facility owners that have entered into interconnection agreements with you elect to execute a Generation Integration Agreement ("GIA") with the RTO, would you agree to a reciprocal suspension of all obligations of such generation facility owners under your interconnection agreements?  If you believe that some, but not all, of the existing obligations under your interconnection agreements with such parties should continue, which specific obligations should continue?  (2) In answering question number 1, under your analysis, will all transmission lines to which third party generation facilities currently are interconnected be transferred to the control of the RTO?  If the answer is "no," which transmission lines (related to which specific generation facilities) would not be so transferred?  If your answer is "no," would the owners of generation facilities located on the transmission owner side of the new transmission/distribution split still have the right to execute replace their current obligations under interconnection agreements with obligations to the RTO under its GIA?  Would your description of any interconnection provisions that would not be suspended with respect to such generation facilities be any different from your answers in part (1) above?  (3) If a new generation facility executed a GIA with the RTO, would such generation facility also need to execute an interconnection agreement with the transmission owner?  If the answer is "yes," what would be the reasons for, and the matters to be covered in, such interconnection agreement with the transmission owner? (4) Would any of the above answers be different (and in what respects) if the relevant transmission facilities were transferred to the control of an Independent Transmission Company?</w:t>
      </w:r>
    </w:p>
    <w:p>
      <w:pPr>
        <w:pStyle w:val="Normal"/>
        <w:rPr>
          <w:rFonts w:ascii="CG Times" w:hAnsi="CG Times" w:cs="CG Times"/>
        </w:rPr>
      </w:pPr>
      <w:r>
        <w:rPr>
          <w:rFonts w:cs="CG Times" w:ascii="CG Times" w:hAnsi="CG Times"/>
        </w:rPr>
      </w:r>
    </w:p>
    <w:p>
      <w:pPr>
        <w:pStyle w:val="Normal"/>
        <w:rPr/>
      </w:pPr>
      <w:r>
        <w:rPr>
          <w:u w:val="single"/>
        </w:rPr>
        <w:t>TCA Section 5 -- The RTO's Provision of Transmission Services</w:t>
      </w:r>
      <w:r>
        <w:rPr/>
        <w:t>: From the Planning workgroup: When the Planning workgroup White Paper is completed, the references in this section to planning should be revised to conform to any revised consensus planning process as set out in the White Paper.</w:t>
      </w:r>
    </w:p>
    <w:p>
      <w:pPr>
        <w:pStyle w:val="Normal"/>
        <w:rPr/>
      </w:pPr>
      <w:r>
        <w:rPr/>
      </w:r>
    </w:p>
    <w:p>
      <w:pPr>
        <w:pStyle w:val="Normal"/>
        <w:rPr/>
      </w:pPr>
      <w:r>
        <w:rPr/>
        <w:t>From the Market Monitoring workgroup: We need the Market Monitoring workgroup White Paper in order to determine what relevant provisions must be included in the TCA.</w:t>
      </w:r>
    </w:p>
    <w:p>
      <w:pPr>
        <w:pStyle w:val="Normal"/>
        <w:rPr/>
      </w:pPr>
      <w:r>
        <w:rPr/>
      </w:r>
    </w:p>
    <w:p>
      <w:pPr>
        <w:pStyle w:val="Normal"/>
        <w:rPr/>
      </w:pPr>
      <w:r>
        <w:rPr/>
        <w:t>From the Seams workgroup: We need the Seams workgroup White Paper in order to determine what relevant provisions must be included in the TCA.</w:t>
      </w:r>
    </w:p>
    <w:p>
      <w:pPr>
        <w:pStyle w:val="Normal"/>
        <w:rPr/>
      </w:pPr>
      <w:r>
        <w:rPr/>
      </w:r>
    </w:p>
    <w:p>
      <w:pPr>
        <w:pStyle w:val="Normal"/>
        <w:rPr/>
      </w:pPr>
      <w:r>
        <w:rPr/>
        <w:t>From the Ancillary Services workgroup: We need a definitive statement of how control area functions are to be handled by the RTO and participating transmission owners, in order to determine what relevant provisions must be included in the TCA.</w:t>
      </w:r>
    </w:p>
    <w:p>
      <w:pPr>
        <w:pStyle w:val="Normal"/>
        <w:rPr/>
      </w:pPr>
      <w:r>
        <w:rPr/>
      </w:r>
    </w:p>
    <w:p>
      <w:pPr>
        <w:pStyle w:val="Normal"/>
        <w:rPr/>
      </w:pPr>
      <w:r>
        <w:rPr>
          <w:u w:val="single"/>
        </w:rPr>
        <w:t>TCA Section 6 -- Pre-Existing Transmission Agreements</w:t>
      </w:r>
      <w:r>
        <w:rPr/>
        <w:t>:  (Note: In the earlier memorandum categorizing issues, I listed Snohomish's comments on this section as category C comments.  On further review, I cannot identify work for other workgroups related to the Snohomish comments, and thus think that the comments should have been categorized in category B.  I specifically ask Snohomish for its thoughts on the subject.)</w:t>
      </w:r>
    </w:p>
    <w:p>
      <w:pPr>
        <w:pStyle w:val="Normal"/>
        <w:rPr/>
      </w:pPr>
      <w:r>
        <w:rPr/>
      </w:r>
    </w:p>
    <w:p>
      <w:pPr>
        <w:pStyle w:val="Normal"/>
        <w:rPr/>
      </w:pPr>
      <w:r>
        <w:rPr>
          <w:u w:val="single"/>
        </w:rPr>
        <w:t>TCA Section 7 -- Control and Operation of Transmission Facilities; Ancillary Services</w:t>
      </w:r>
      <w:r>
        <w:rPr/>
        <w:t>: From the Ancillary Services and the Operations workgroup: We need the White Papers from these groups in order to determine the changes needed to this section.  We ask these workgroups in preparing their White Papers to review section 7 of the IndeGO TCA, and to be sure to disclose all respects in which the control and operations of the RTO will differ from that described in such section 7.</w:t>
      </w:r>
    </w:p>
    <w:p>
      <w:pPr>
        <w:pStyle w:val="Normal"/>
        <w:rPr/>
      </w:pPr>
      <w:r>
        <w:rPr/>
      </w:r>
    </w:p>
    <w:p>
      <w:pPr>
        <w:pStyle w:val="Normal"/>
        <w:rPr/>
      </w:pPr>
      <w:r>
        <w:rPr/>
        <w:t>From the Congestion Management workgroup: Will security coordination remain in the PNSC and be supplied to the RTO by contract?  The answer to this question needs to be provided to the legal subgroup working on the GIA, and the resolution as reflected in the GIA needs to be supplied to the TCA workgroup.</w:t>
      </w:r>
    </w:p>
    <w:p>
      <w:pPr>
        <w:pStyle w:val="Normal"/>
        <w:rPr/>
      </w:pPr>
      <w:r>
        <w:rPr/>
      </w:r>
    </w:p>
    <w:p>
      <w:pPr>
        <w:pStyle w:val="Normal"/>
        <w:rPr/>
      </w:pPr>
      <w:r>
        <w:rPr>
          <w:u w:val="single"/>
        </w:rPr>
        <w:t>TCA Section 8 -- Transmission Facilities Management</w:t>
      </w:r>
      <w:r>
        <w:rPr/>
        <w:t>: From the Planning Workgroup: We need the details of how the Performance Plans for the transmission systems are to be handled, including what the consequences will be for failure to meet the requirements of the Performance Plans.</w:t>
      </w:r>
    </w:p>
    <w:p>
      <w:pPr>
        <w:pStyle w:val="Normal"/>
        <w:rPr/>
      </w:pPr>
      <w:r>
        <w:rPr/>
      </w:r>
    </w:p>
    <w:p>
      <w:pPr>
        <w:pStyle w:val="Normal"/>
        <w:rPr/>
      </w:pPr>
      <w:r>
        <w:rPr/>
        <w:t>From the Pricing workgroup: Will there be an attempt to retain deferred capital maintenance of transmission facilities in the Company Rate?  If the answer is "yes," as a practical matter, how will the determination be made as to whether a maintenance item represents deferred maintenance?</w:t>
      </w:r>
    </w:p>
    <w:p>
      <w:pPr>
        <w:pStyle w:val="Normal"/>
        <w:rPr/>
      </w:pPr>
      <w:r>
        <w:rPr/>
      </w:r>
    </w:p>
    <w:p>
      <w:pPr>
        <w:pStyle w:val="Normal"/>
        <w:rPr/>
      </w:pPr>
      <w:r>
        <w:rPr>
          <w:u w:val="single"/>
        </w:rPr>
        <w:t>TCA Section 9 -- Critical Control Facilities</w:t>
      </w:r>
      <w:r>
        <w:rPr/>
        <w:t xml:space="preserve">: From the Ancillary Services workgroup: Will the RTO have operational control over </w:t>
      </w:r>
      <w:r>
        <w:rPr>
          <w:u w:val="single"/>
        </w:rPr>
        <w:t>all</w:t>
      </w:r>
      <w:r>
        <w:rPr/>
        <w:t xml:space="preserve"> RTO transmission facilities (including all lower voltage RTO facilities?  What will be the elements of the RTO's operational control?</w:t>
      </w:r>
    </w:p>
    <w:p>
      <w:pPr>
        <w:pStyle w:val="Normal"/>
        <w:rPr/>
      </w:pPr>
      <w:r>
        <w:rPr/>
      </w:r>
    </w:p>
    <w:p>
      <w:pPr>
        <w:pStyle w:val="Normal"/>
        <w:rPr/>
      </w:pPr>
      <w:r>
        <w:rPr>
          <w:u w:val="single"/>
        </w:rPr>
        <w:t>TCA Section 11 -- RTO Compliance and Coordination Standards</w:t>
      </w:r>
      <w:r>
        <w:rPr/>
        <w:t>: From the Legal subgroup addressing the Security Coordination Agreement: Should the RTO execute a WSCC Reliability Management System contract?</w:t>
      </w:r>
    </w:p>
    <w:p>
      <w:pPr>
        <w:pStyle w:val="Normal"/>
        <w:rPr/>
      </w:pPr>
      <w:r>
        <w:rPr/>
      </w:r>
    </w:p>
    <w:p>
      <w:pPr>
        <w:pStyle w:val="Normal"/>
        <w:rPr/>
      </w:pPr>
      <w:r>
        <w:rPr>
          <w:u w:val="single"/>
        </w:rPr>
        <w:t>TCA Section 13 -- Planning</w:t>
      </w:r>
      <w:r>
        <w:rPr/>
        <w:t>: From the Planning workgroup:  (1) We need the entire Planning workgroup White Paper before changes to this section of the TCA can be addressed.  (2) The Planning workgroup White Paper should include any unique roles to be assumed by any Independent Transmission Company in planning.  In preparing its White Paper, we ask the Planning workgroup to review the provisions of Section 13 of the IndeGO TCA, and to be sure to disclose all respects in which the planning of the RTO will differ from that described in such section 13.</w:t>
      </w:r>
    </w:p>
    <w:p>
      <w:pPr>
        <w:pStyle w:val="Normal"/>
        <w:rPr/>
      </w:pPr>
      <w:r>
        <w:rPr/>
      </w:r>
    </w:p>
    <w:p>
      <w:pPr>
        <w:pStyle w:val="Normal"/>
        <w:rPr/>
      </w:pPr>
      <w:r>
        <w:rPr>
          <w:u w:val="single"/>
        </w:rPr>
        <w:t>TCA Section 14 -- Executing Transmission Owner's Rate Schedule</w:t>
      </w:r>
      <w:r>
        <w:rPr/>
        <w:t>:  From the Legal subgroup drafting the Payment Agent Agreement: What language changes do you recommend for section 14 with respect to the Payment Agent Agreement?</w:t>
      </w:r>
    </w:p>
    <w:p>
      <w:pPr>
        <w:pStyle w:val="Normal"/>
        <w:rPr/>
      </w:pPr>
      <w:r>
        <w:rPr/>
      </w:r>
    </w:p>
    <w:p>
      <w:pPr>
        <w:pStyle w:val="Normal"/>
        <w:rPr/>
      </w:pPr>
      <w:r>
        <w:rPr>
          <w:u w:val="single"/>
        </w:rPr>
        <w:t>TCA Section 15 -- RTO Tariff</w:t>
      </w:r>
      <w:r>
        <w:rPr/>
        <w:t>: From the Pricing workgroup: We need the RTO pricing proposal, so that we can identify those pricing commitments that need to be spelled out in this section of the TCA.</w:t>
      </w:r>
    </w:p>
    <w:p>
      <w:pPr>
        <w:pStyle w:val="Normal"/>
        <w:rPr/>
      </w:pPr>
      <w:r>
        <w:rPr/>
      </w:r>
    </w:p>
    <w:p>
      <w:pPr>
        <w:pStyle w:val="Normal"/>
        <w:rPr/>
      </w:pPr>
      <w:r>
        <w:rPr>
          <w:u w:val="single"/>
        </w:rPr>
        <w:t>TCA Section 16 -- Transmission Capacity Reservations</w:t>
      </w:r>
      <w:r>
        <w:rPr/>
        <w:t>: From the Congestion Management workgroup: We need the complete agreement as to transmission capacity reservations ("TCR").  The Congestion Management workgroup should be furnished with the comments made to this section of the TCA, to make certain that all the questions are answered in its report on TCRs.</w:t>
      </w:r>
    </w:p>
    <w:p>
      <w:pPr>
        <w:pStyle w:val="Normal"/>
        <w:rPr/>
      </w:pPr>
      <w:r>
        <w:rPr/>
      </w:r>
    </w:p>
    <w:p>
      <w:pPr>
        <w:pStyle w:val="Normal"/>
        <w:rPr/>
      </w:pPr>
      <w:r>
        <w:rPr>
          <w:u w:val="single"/>
        </w:rPr>
        <w:t>TCA Section 20 -- Limitation on Liability and Insurance</w:t>
      </w:r>
      <w:r>
        <w:rPr/>
        <w:t>: From the Legal subgroup on Liability and Insurance: What revisions should be made to this section of the TCA?</w:t>
      </w:r>
    </w:p>
    <w:p>
      <w:pPr>
        <w:pStyle w:val="Normal"/>
        <w:rPr/>
      </w:pPr>
      <w:r>
        <w:rPr/>
      </w:r>
    </w:p>
    <w:sectPr>
      <w:headerReference w:type="default" r:id="rId2"/>
      <w:footerReference w:type="default" r:id="rId3"/>
      <w:type w:val="nextPage"/>
      <w:pgSz w:w="12240" w:h="15840"/>
      <w:pgMar w:left="1800" w:right="1800" w:gutter="0" w:header="720" w:top="126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2000-07-10T20:52:00Z</dcterms:created>
  <dc:creator>Marcus Wood</dc:creator>
  <dc:description/>
  <dc:language>en-CA</dc:language>
  <cp:lastModifiedBy>Marcus Wood</cp:lastModifiedBy>
  <cp:lastPrinted>2000-07-03T11:21:00Z</cp:lastPrinted>
  <dcterms:modified xsi:type="dcterms:W3CDTF">2000-07-10T20:52:00Z</dcterms:modified>
  <cp:revision>2</cp:revision>
  <dc:subject/>
  <dc:title>STOEL RIVES LLP</dc:title>
</cp:coreProperties>
</file>