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rFonts w:cs="CG Times" w:ascii="CG Times" w:hAnsi="CG Times"/>
        </w:rPr>
        <w:instrText xml:space="preserve">ADVANCE \y 61</w:instrText>
      </w:r>
      <w:r>
        <w:rPr>
          <w:rFonts w:cs="CG Times" w:ascii="CG Times" w:hAnsi="CG Times"/>
        </w:rPr>
      </w:r>
      <w:r>
        <w:rPr>
          <w:rFonts w:cs="CG Times" w:ascii="CG Times" w:hAnsi="CG Times"/>
        </w:rPr>
        <w:fldChar w:fldCharType="separate"/>
      </w:r>
      <w:r>
        <w:rPr>
          <w:rFonts w:cs="CG Times" w:ascii="CG Times" w:hAnsi="CG Times"/>
        </w:rPr>
      </w:r>
      <w:r>
        <w:rPr>
          <w:rFonts w:cs="CG Times" w:ascii="CG Times" w:hAnsi="CG Times"/>
        </w:rPr>
      </w:r>
      <w:r>
        <w:rPr>
          <w:rFonts w:cs="CG Times" w:ascii="CG Times" w:hAnsi="CG Times"/>
        </w:rPr>
        <w:fldChar w:fldCharType="end"/>
      </w:r>
      <w:r>
        <w:rPr>
          <w:rFonts w:cs="CG Times" w:ascii="CG Times" w:hAnsi="CG Times"/>
          <w:smallCaps/>
          <w:sz w:val="38"/>
        </w:rPr>
        <w:t xml:space="preserve">Stoel Rives </w:t>
      </w:r>
      <w:r>
        <w:rPr>
          <w:rFonts w:cs="CG Times" w:ascii="CG Times" w:hAnsi="CG Times"/>
          <w:smallCaps/>
        </w:rPr>
        <w:t>llp</w:t>
      </w:r>
    </w:p>
    <w:p>
      <w:pPr>
        <w:pStyle w:val="Normal"/>
        <w:jc w:val="center"/>
        <w:rPr>
          <w:rFonts w:ascii="CG Times" w:hAnsi="CG Times" w:cs="CG Times"/>
          <w:smallCaps/>
        </w:rPr>
      </w:pPr>
      <w:r>
        <w:rPr>
          <w:rFonts w:cs="CG Times" w:ascii="CG Times" w:hAnsi="CG Times"/>
          <w:smallCaps/>
        </w:rPr>
        <mc:AlternateContent>
          <mc:Choice Requires="wps">
            <w:drawing>
              <wp:anchor behindDoc="0" distT="0" distB="0" distL="114935" distR="114935" simplePos="0" locked="0" layoutInCell="1" allowOverlap="1" relativeHeight="4">
                <wp:simplePos x="0" y="0"/>
                <wp:positionH relativeFrom="column">
                  <wp:posOffset>2103120</wp:posOffset>
                </wp:positionH>
                <wp:positionV relativeFrom="paragraph">
                  <wp:posOffset>-3175</wp:posOffset>
                </wp:positionV>
                <wp:extent cx="1737360" cy="0"/>
                <wp:effectExtent l="0" t="5080" r="0" b="5080"/>
                <wp:wrapNone/>
                <wp:docPr id="1"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65.6pt,-0.25pt" to="302.35pt,-0.25pt" stroked="t" o:allowincell="f" style="position:absolute">
                <v:stroke color="black" weight="9360" joinstyle="miter" endcap="flat"/>
                <v:fill o:detectmouseclick="t" on="false"/>
                <w10:wrap type="none"/>
              </v:line>
            </w:pict>
          </mc:Fallback>
        </mc:AlternateContent>
      </w:r>
    </w:p>
    <w:p>
      <w:pPr>
        <w:pStyle w:val="Normal"/>
        <w:jc w:val="center"/>
        <w:rPr>
          <w:rFonts w:ascii="CG Times" w:hAnsi="CG Times" w:cs="CG Times"/>
          <w:b/>
          <w:smallCaps/>
          <w:sz w:val="32"/>
        </w:rPr>
      </w:pPr>
      <w:r>
        <w:rPr>
          <w:rFonts w:cs="CG Times" w:ascii="CG Times" w:hAnsi="CG Times"/>
          <w:b/>
          <w:smallCaps/>
          <w:sz w:val="32"/>
        </w:rPr>
        <w:t>M e m o r a n d u m</w:t>
      </w:r>
    </w:p>
    <w:p>
      <w:pPr>
        <w:pStyle w:val="Normal"/>
        <w:jc w:val="center"/>
        <w:rPr>
          <w:rFonts w:ascii="CG Times" w:hAnsi="CG Times" w:cs="CG Times"/>
          <w:b/>
          <w:smallCaps/>
          <w:sz w:val="32"/>
        </w:rPr>
      </w:pPr>
      <w:r>
        <w:rPr>
          <w:rFonts w:cs="CG Times" w:ascii="CG Times" w:hAnsi="CG Times"/>
          <w:b/>
          <w:smallCaps/>
          <w:sz w:val="32"/>
        </w:rPr>
      </w:r>
    </w:p>
    <w:p>
      <w:pPr>
        <w:pStyle w:val="Normal"/>
        <w:jc w:val="center"/>
        <w:rPr>
          <w:rFonts w:ascii="CG Times" w:hAnsi="CG Times" w:cs="CG Times"/>
        </w:rPr>
      </w:pPr>
      <w:r>
        <w:fldChar w:fldCharType="begin"/>
      </w:r>
      <w:r>
        <w:rPr>
          <w:rFonts w:cs="CG Times" w:ascii="CG Times" w:hAnsi="CG Times"/>
        </w:rPr>
        <w:instrText xml:space="preserve">ADVANCE \y 144</w:instrText>
      </w:r>
      <w:r>
        <w:rPr>
          <w:rFonts w:cs="CG Times" w:ascii="CG Times" w:hAnsi="CG Times"/>
        </w:rPr>
      </w:r>
      <w:r>
        <w:rPr>
          <w:rFonts w:cs="CG Times" w:ascii="CG Times" w:hAnsi="CG Times"/>
        </w:rPr>
        <w:fldChar w:fldCharType="separate"/>
      </w:r>
      <w:r>
        <w:rPr>
          <w:rFonts w:cs="CG Times" w:ascii="CG Times" w:hAnsi="CG Times"/>
        </w:rPr>
      </w:r>
      <w:r>
        <w:rPr>
          <w:rFonts w:cs="CG Times" w:ascii="CG Times" w:hAnsi="CG Times"/>
        </w:rPr>
      </w:r>
      <w:r>
        <w:rPr>
          <w:rFonts w:cs="CG Times" w:ascii="CG Times" w:hAnsi="CG Times"/>
        </w:rPr>
        <w:fldChar w:fldCharType="end"/>
      </w:r>
      <w:r>
        <w:rPr>
          <w:rFonts w:cs="CG Times" w:ascii="CG Times" w:hAnsi="CG Times"/>
        </w:rPr>
        <w:fldChar w:fldCharType="begin"/>
      </w:r>
      <w:r>
        <w:rPr>
          <w:rFonts w:cs="CG Times" w:ascii="CG Times" w:hAnsi="CG Times"/>
        </w:rPr>
        <w:instrText xml:space="preserve"> DATE \@"MMMM\ d', 'yyyy" </w:instrText>
      </w:r>
      <w:r>
        <w:rPr>
          <w:rFonts w:cs="CG Times" w:ascii="CG Times" w:hAnsi="CG Times"/>
        </w:rPr>
        <w:fldChar w:fldCharType="separate"/>
      </w:r>
      <w:r>
        <w:rPr>
          <w:rFonts w:cs="CG Times" w:ascii="CG Times" w:hAnsi="CG Times"/>
        </w:rPr>
        <w:t>September 28, 2025</w:t>
      </w:r>
      <w:r>
        <w:rPr>
          <w:rFonts w:cs="CG Times" w:ascii="CG Times" w:hAnsi="CG Times"/>
        </w:rPr>
        <w:fldChar w:fldCharType="end"/>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tbl>
      <w:tblPr>
        <w:tblW w:w="9360" w:type="dxa"/>
        <w:jc w:val="start"/>
        <w:tblInd w:w="120" w:type="dxa"/>
        <w:tblLayout w:type="fixed"/>
        <w:tblCellMar>
          <w:top w:w="0" w:type="dxa"/>
          <w:start w:w="120" w:type="dxa"/>
          <w:bottom w:w="0" w:type="dxa"/>
          <w:end w:w="120" w:type="dxa"/>
        </w:tblCellMar>
      </w:tblPr>
      <w:tblGrid>
        <w:gridCol w:w="1080"/>
        <w:gridCol w:w="8280"/>
      </w:tblGrid>
      <w:tr>
        <w:trPr>
          <w:trHeight w:val="403" w:hRule="atLeast"/>
        </w:trPr>
        <w:tc>
          <w:tcPr>
            <w:tcW w:w="1080" w:type="dxa"/>
            <w:tcBorders/>
          </w:tcPr>
          <w:p>
            <w:pPr>
              <w:pStyle w:val="Normal"/>
              <w:rPr/>
            </w:pPr>
            <w:r>
              <w:fldChar w:fldCharType="begin"/>
            </w:r>
            <w:r>
              <w:rPr>
                <w:rFonts w:cs="CG Times" w:ascii="CG Times" w:hAnsi="CG Times"/>
              </w:rPr>
              <w:instrText xml:space="preserve">ADVANCE \y 180</w:instrText>
            </w:r>
            <w:r>
              <w:rPr>
                <w:rFonts w:cs="CG Times" w:ascii="CG Times" w:hAnsi="CG Times"/>
              </w:rPr>
            </w:r>
            <w:r>
              <w:rPr>
                <w:rFonts w:cs="CG Times" w:ascii="CG Times" w:hAnsi="CG Times"/>
              </w:rPr>
              <w:fldChar w:fldCharType="separate"/>
            </w:r>
            <w:r>
              <w:rPr>
                <w:rFonts w:cs="CG Times" w:ascii="CG Times" w:hAnsi="CG Times"/>
              </w:rPr>
            </w:r>
            <w:r>
              <w:rPr>
                <w:rFonts w:cs="CG Times" w:ascii="CG Times" w:hAnsi="CG Times"/>
              </w:rPr>
            </w:r>
            <w:r>
              <w:rPr>
                <w:rFonts w:cs="CG Times" w:ascii="CG Times" w:hAnsi="CG Times"/>
              </w:rPr>
              <w:fldChar w:fldCharType="end"/>
            </w:r>
            <w:r>
              <w:rPr>
                <w:rFonts w:cs="CG Times" w:ascii="CG Times" w:hAnsi="CG Times"/>
              </w:rPr>
              <w:t>TO:</w:t>
            </w:r>
          </w:p>
        </w:tc>
        <w:tc>
          <w:tcPr>
            <w:tcW w:w="8280" w:type="dxa"/>
            <w:tcBorders/>
          </w:tcPr>
          <w:p>
            <w:pPr>
              <w:pStyle w:val="Normal"/>
              <w:rPr>
                <w:rFonts w:ascii="CG Times" w:hAnsi="CG Times" w:cs="CG Times"/>
              </w:rPr>
            </w:pPr>
            <w:r>
              <w:rPr>
                <w:rFonts w:cs="CG Times" w:ascii="CG Times" w:hAnsi="CG Times"/>
              </w:rPr>
              <w:t>Legal Subgroup C:  Public Participation, TCA, Existing Contracts</w:t>
            </w:r>
          </w:p>
        </w:tc>
      </w:tr>
      <w:tr>
        <w:trPr>
          <w:trHeight w:val="403" w:hRule="atLeast"/>
        </w:trPr>
        <w:tc>
          <w:tcPr>
            <w:tcW w:w="1080" w:type="dxa"/>
            <w:tcBorders/>
          </w:tcPr>
          <w:p>
            <w:pPr>
              <w:pStyle w:val="Normal"/>
              <w:rPr>
                <w:rFonts w:ascii="CG Times" w:hAnsi="CG Times" w:cs="CG Times"/>
              </w:rPr>
            </w:pPr>
            <w:r>
              <w:rPr>
                <w:rFonts w:cs="CG Times" w:ascii="CG Times" w:hAnsi="CG Times"/>
              </w:rPr>
              <w:t>FROM:</w:t>
            </w:r>
          </w:p>
        </w:tc>
        <w:tc>
          <w:tcPr>
            <w:tcW w:w="8280" w:type="dxa"/>
            <w:tcBorders/>
          </w:tcPr>
          <w:p>
            <w:pPr>
              <w:pStyle w:val="Normal"/>
              <w:rPr>
                <w:rFonts w:ascii="CG Times" w:hAnsi="CG Times" w:cs="CG Times"/>
              </w:rPr>
            </w:pPr>
            <w:r>
              <w:rPr>
                <w:rFonts w:cs="CG Times" w:ascii="CG Times" w:hAnsi="CG Times"/>
              </w:rPr>
              <w:t>Marcus Wood</w:t>
            </w:r>
          </w:p>
        </w:tc>
      </w:tr>
      <w:tr>
        <w:trPr>
          <w:trHeight w:val="403" w:hRule="atLeast"/>
        </w:trPr>
        <w:tc>
          <w:tcPr>
            <w:tcW w:w="1080" w:type="dxa"/>
            <w:tcBorders>
              <w:bottom w:val="single" w:sz="6" w:space="0" w:color="000000"/>
            </w:tcBorders>
          </w:tcPr>
          <w:p>
            <w:pPr>
              <w:pStyle w:val="Normal"/>
              <w:rPr>
                <w:rFonts w:ascii="CG Times" w:hAnsi="CG Times" w:cs="CG Times"/>
              </w:rPr>
            </w:pPr>
            <w:r>
              <w:rPr>
                <w:rFonts w:cs="CG Times" w:ascii="CG Times" w:hAnsi="CG Times"/>
              </w:rPr>
              <w:t>RE:</w:t>
            </w:r>
          </w:p>
        </w:tc>
        <w:tc>
          <w:tcPr>
            <w:tcW w:w="8280" w:type="dxa"/>
            <w:tcBorders>
              <w:bottom w:val="single" w:sz="6" w:space="0" w:color="000000"/>
            </w:tcBorders>
          </w:tcPr>
          <w:p>
            <w:pPr>
              <w:pStyle w:val="Normal"/>
              <w:rPr>
                <w:rFonts w:ascii="CG Times" w:hAnsi="CG Times" w:cs="CG Times"/>
              </w:rPr>
            </w:pPr>
            <w:r>
              <w:rPr>
                <w:rFonts w:cs="CG Times" w:ascii="CG Times" w:hAnsi="CG Times"/>
              </w:rPr>
              <w:t>Subgroup Conference Call of June 23, 2000</w:t>
            </w:r>
          </w:p>
        </w:tc>
      </w:tr>
    </w:tbl>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Participants in the Subgroup C conference call of June 23, 2000 were:</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Eric Christensen</w:t>
      </w:r>
    </w:p>
    <w:p>
      <w:pPr>
        <w:pStyle w:val="Normal"/>
        <w:rPr>
          <w:rFonts w:ascii="CG Times" w:hAnsi="CG Times" w:cs="CG Times"/>
        </w:rPr>
      </w:pPr>
      <w:r>
        <w:rPr>
          <w:rFonts w:cs="CG Times" w:ascii="CG Times" w:hAnsi="CG Times"/>
        </w:rPr>
        <w:t>Blair Strong</w:t>
      </w:r>
    </w:p>
    <w:p>
      <w:pPr>
        <w:pStyle w:val="Normal"/>
        <w:rPr>
          <w:rFonts w:ascii="CG Times" w:hAnsi="CG Times" w:cs="CG Times"/>
        </w:rPr>
      </w:pPr>
      <w:r>
        <w:rPr>
          <w:rFonts w:cs="CG Times" w:ascii="CG Times" w:hAnsi="CG Times"/>
        </w:rPr>
        <w:t>Kyle Sciuchetti</w:t>
      </w:r>
    </w:p>
    <w:p>
      <w:pPr>
        <w:pStyle w:val="Normal"/>
        <w:rPr>
          <w:rFonts w:ascii="CG Times" w:hAnsi="CG Times" w:cs="CG Times"/>
        </w:rPr>
      </w:pPr>
      <w:r>
        <w:rPr>
          <w:rFonts w:cs="CG Times" w:ascii="CG Times" w:hAnsi="CG Times"/>
        </w:rPr>
        <w:t>Steve Larson</w:t>
      </w:r>
    </w:p>
    <w:p>
      <w:pPr>
        <w:pStyle w:val="Normal"/>
        <w:rPr>
          <w:rFonts w:ascii="CG Times" w:hAnsi="CG Times" w:cs="CG Times"/>
        </w:rPr>
      </w:pPr>
      <w:r>
        <w:rPr>
          <w:rFonts w:cs="CG Times" w:ascii="CG Times" w:hAnsi="CG Times"/>
        </w:rPr>
        <w:t>Michael Early</w:t>
      </w:r>
    </w:p>
    <w:p>
      <w:pPr>
        <w:pStyle w:val="Normal"/>
        <w:rPr>
          <w:rFonts w:ascii="CG Times" w:hAnsi="CG Times" w:cs="CG Times"/>
        </w:rPr>
      </w:pPr>
      <w:r>
        <w:rPr>
          <w:rFonts w:cs="CG Times" w:ascii="CG Times" w:hAnsi="CG Times"/>
        </w:rPr>
        <w:t>Cindy Wright</w:t>
      </w:r>
    </w:p>
    <w:p>
      <w:pPr>
        <w:pStyle w:val="Normal"/>
        <w:rPr>
          <w:rFonts w:ascii="CG Times" w:hAnsi="CG Times" w:cs="CG Times"/>
        </w:rPr>
      </w:pPr>
      <w:r>
        <w:rPr>
          <w:rFonts w:cs="CG Times" w:ascii="CG Times" w:hAnsi="CG Times"/>
        </w:rPr>
        <w:t>Connie Westadt</w:t>
      </w:r>
    </w:p>
    <w:p>
      <w:pPr>
        <w:pStyle w:val="Normal"/>
        <w:rPr>
          <w:rFonts w:ascii="CG Times" w:hAnsi="CG Times" w:cs="CG Times"/>
        </w:rPr>
      </w:pPr>
      <w:r>
        <w:rPr>
          <w:rFonts w:cs="CG Times" w:ascii="CG Times" w:hAnsi="CG Times"/>
        </w:rPr>
        <w:t>Steve Weiss</w:t>
      </w:r>
    </w:p>
    <w:p>
      <w:pPr>
        <w:pStyle w:val="Normal"/>
        <w:rPr>
          <w:rFonts w:ascii="CG Times" w:hAnsi="CG Times" w:cs="CG Times"/>
        </w:rPr>
      </w:pPr>
      <w:r>
        <w:rPr>
          <w:rFonts w:cs="CG Times" w:ascii="CG Times" w:hAnsi="CG Times"/>
        </w:rPr>
        <w:t>Melinda Davison</w:t>
      </w:r>
    </w:p>
    <w:p>
      <w:pPr>
        <w:pStyle w:val="Normal"/>
        <w:rPr>
          <w:rFonts w:ascii="CG Times" w:hAnsi="CG Times" w:cs="CG Times"/>
        </w:rPr>
      </w:pPr>
      <w:r>
        <w:rPr>
          <w:rFonts w:cs="CG Times" w:ascii="CG Times" w:hAnsi="CG Times"/>
        </w:rPr>
        <w:t>Marcus Wood</w:t>
      </w:r>
    </w:p>
    <w:p>
      <w:pPr>
        <w:pStyle w:val="Normal"/>
        <w:rPr>
          <w:rFonts w:ascii="CG Times" w:hAnsi="CG Times" w:cs="CG Times"/>
        </w:rPr>
      </w:pPr>
      <w:r>
        <w:rPr>
          <w:rFonts w:cs="CG Times" w:ascii="CG Times" w:hAnsi="CG Times"/>
        </w:rPr>
      </w:r>
    </w:p>
    <w:p>
      <w:pPr>
        <w:pStyle w:val="Normal"/>
        <w:numPr>
          <w:ilvl w:val="0"/>
          <w:numId w:val="1"/>
        </w:numPr>
        <w:rPr>
          <w:rFonts w:ascii="CG Times" w:hAnsi="CG Times" w:cs="CG Times"/>
        </w:rPr>
      </w:pPr>
      <w:r>
        <w:rPr>
          <w:rFonts w:cs="CG Times" w:ascii="CG Times" w:hAnsi="CG Times"/>
        </w:rPr>
        <w:t>The subgroup members had received by e-mail from Marcus Wood two versions of an outline of the Transmission Control (Operating) Agreement ("TCA").  The initial version contained notes by Marcus Wood as to proposed TCA revisions.  The revised version included comments by BPA, Seattle City Light, Snohomish PUD and Enron.</w:t>
      </w:r>
    </w:p>
    <w:p>
      <w:pPr>
        <w:pStyle w:val="Normal"/>
        <w:rPr>
          <w:rFonts w:ascii="CG Times" w:hAnsi="CG Times" w:cs="CG Times"/>
        </w:rPr>
      </w:pPr>
      <w:r>
        <w:rPr>
          <w:rFonts w:cs="CG Times" w:ascii="CG Times" w:hAnsi="CG Times"/>
        </w:rPr>
      </w:r>
    </w:p>
    <w:p>
      <w:pPr>
        <w:pStyle w:val="Normal"/>
        <w:numPr>
          <w:ilvl w:val="0"/>
          <w:numId w:val="1"/>
        </w:numPr>
        <w:rPr>
          <w:rFonts w:ascii="CG Times" w:hAnsi="CG Times" w:cs="CG Times"/>
        </w:rPr>
      </w:pPr>
      <w:r>
        <w:rPr>
          <w:rFonts w:cs="CG Times" w:ascii="CG Times" w:hAnsi="CG Times"/>
        </w:rPr>
        <w:t xml:space="preserve">All participants were urged to complete their TCA review and identify any additional issues prior to the June 27 Legal Work Group meeting.  Any issues received by Marcus Wood prior to the end of the day Friday would be incorporated into the TCA outline that Mr. Wood had committed to provide to all Legal Work Group members on Monday, June 26.  </w:t>
      </w:r>
    </w:p>
    <w:p>
      <w:pPr>
        <w:pStyle w:val="Normal"/>
        <w:rPr>
          <w:rFonts w:ascii="CG Times" w:hAnsi="CG Times" w:cs="CG Times"/>
        </w:rPr>
      </w:pPr>
      <w:r>
        <w:rPr>
          <w:rFonts w:cs="CG Times" w:ascii="CG Times" w:hAnsi="CG Times"/>
        </w:rPr>
      </w:r>
    </w:p>
    <w:p>
      <w:pPr>
        <w:pStyle w:val="Normal"/>
        <w:numPr>
          <w:ilvl w:val="0"/>
          <w:numId w:val="1"/>
        </w:numPr>
        <w:rPr>
          <w:rFonts w:ascii="CG Times" w:hAnsi="CG Times" w:cs="CG Times"/>
        </w:rPr>
      </w:pPr>
      <w:r>
        <w:rPr>
          <w:rFonts w:cs="CG Times" w:ascii="CG Times" w:hAnsi="CG Times"/>
        </w:rPr>
        <w:t>The participants agreed that on June 27, we would divide the TCA issues into three groups for resolution.  The groups would be:</w:t>
      </w:r>
    </w:p>
    <w:p>
      <w:pPr>
        <w:pStyle w:val="Normal"/>
        <w:rPr>
          <w:rFonts w:ascii="CG Times" w:hAnsi="CG Times" w:cs="CG Times"/>
        </w:rPr>
      </w:pPr>
      <w:r>
        <w:rPr>
          <w:rFonts w:cs="CG Times" w:ascii="CG Times" w:hAnsi="CG Times"/>
        </w:rPr>
      </w:r>
    </w:p>
    <w:p>
      <w:pPr>
        <w:pStyle w:val="Normal"/>
        <w:numPr>
          <w:ilvl w:val="0"/>
          <w:numId w:val="2"/>
        </w:numPr>
        <w:rPr>
          <w:rFonts w:ascii="CG Times" w:hAnsi="CG Times" w:cs="CG Times"/>
        </w:rPr>
      </w:pPr>
      <w:r>
        <w:rPr>
          <w:rFonts w:cs="CG Times" w:ascii="CG Times" w:hAnsi="CG Times"/>
        </w:rPr>
        <w:t>Group A: Proposed TCA changes that met all of the following requirements: There was consensus as to the changes, the changes were relatively easy to implement and the changes did not require inputs from other RTO work groups.  These changes would be made to the TCA, subject to review by the subgroup members and revision if needed as a result of such review.</w:t>
      </w:r>
    </w:p>
    <w:p>
      <w:pPr>
        <w:pStyle w:val="Normal"/>
        <w:rPr>
          <w:rFonts w:ascii="CG Times" w:hAnsi="CG Times" w:cs="CG Times"/>
        </w:rPr>
      </w:pPr>
      <w:r>
        <w:rPr>
          <w:rFonts w:cs="CG Times" w:ascii="CG Times" w:hAnsi="CG Times"/>
        </w:rPr>
      </w:r>
    </w:p>
    <w:p>
      <w:pPr>
        <w:pStyle w:val="Normal"/>
        <w:numPr>
          <w:ilvl w:val="0"/>
          <w:numId w:val="2"/>
        </w:numPr>
        <w:rPr>
          <w:rFonts w:ascii="CG Times" w:hAnsi="CG Times" w:cs="CG Times"/>
        </w:rPr>
      </w:pPr>
      <w:r>
        <w:rPr>
          <w:rFonts w:cs="CG Times" w:ascii="CG Times" w:hAnsi="CG Times"/>
        </w:rPr>
        <w:t xml:space="preserve">Group B: Proposed TCA changes that either were controversial or required further clarification.  One or more fact-to-face meetings of the subgroup would be scheduled to promptly address these issues. </w:t>
      </w:r>
    </w:p>
    <w:p>
      <w:pPr>
        <w:pStyle w:val="Normal"/>
        <w:rPr>
          <w:rFonts w:ascii="CG Times" w:hAnsi="CG Times" w:cs="CG Times"/>
        </w:rPr>
      </w:pPr>
      <w:r>
        <w:rPr>
          <w:rFonts w:cs="CG Times" w:ascii="CG Times" w:hAnsi="CG Times"/>
        </w:rPr>
      </w:r>
    </w:p>
    <w:p>
      <w:pPr>
        <w:pStyle w:val="Normal"/>
        <w:numPr>
          <w:ilvl w:val="0"/>
          <w:numId w:val="2"/>
        </w:numPr>
        <w:rPr>
          <w:rFonts w:ascii="CG Times" w:hAnsi="CG Times" w:cs="CG Times"/>
        </w:rPr>
      </w:pPr>
      <w:r>
        <w:rPr>
          <w:rFonts w:cs="CG Times" w:ascii="CG Times" w:hAnsi="CG Times"/>
        </w:rPr>
        <w:t>Group C: Proposed TCA changes that could not be made without inputs from other RTO work groups.  The necessary inputs from the other RTO committees would be identified and the applicable work groups would be asked when the inputs would be available.  The work with respect to such TCA changes then would be scheduled based on responses received from the other RTO work groups as to when the inputs would be available.</w:t>
      </w:r>
    </w:p>
    <w:p>
      <w:pPr>
        <w:pStyle w:val="Normal"/>
        <w:rPr>
          <w:rFonts w:ascii="CG Times" w:hAnsi="CG Times" w:cs="CG Times"/>
        </w:rPr>
      </w:pPr>
      <w:r>
        <w:rPr>
          <w:rFonts w:cs="CG Times" w:ascii="CG Times" w:hAnsi="CG Times"/>
        </w:rPr>
        <w:tab/>
      </w:r>
    </w:p>
    <w:p>
      <w:pPr>
        <w:pStyle w:val="Normal"/>
        <w:numPr>
          <w:ilvl w:val="0"/>
          <w:numId w:val="1"/>
        </w:numPr>
        <w:rPr/>
      </w:pPr>
      <w:r>
        <w:rPr/>
        <w:t xml:space="preserve">Marcus Wood would undertake to collect for the June 27 meeting the IndeGO matrices identifying existing transmission agreements, along with a set of the one-page contract summaries prepared for IndeGO.  This packet of documents would be provided to Barney Speckman, to be distributed to interested participants.  </w:t>
      </w:r>
    </w:p>
    <w:p>
      <w:pPr>
        <w:pStyle w:val="Normal"/>
        <w:rPr/>
      </w:pPr>
      <w:r>
        <w:rPr/>
      </w:r>
    </w:p>
    <w:p>
      <w:pPr>
        <w:pStyle w:val="Normal"/>
        <w:ind w:hanging="720" w:start="720" w:end="0"/>
        <w:rPr/>
      </w:pPr>
      <w:r>
        <w:rPr/>
        <w:t>5.</w:t>
        <w:tab/>
        <w:t>Each of the representatives of transmission owners were asked to identify at the June 27 meeting the owner point person for collecting materials related to existing transmission agreements.</w:t>
      </w:r>
    </w:p>
    <w:p>
      <w:pPr>
        <w:pStyle w:val="Normal"/>
        <w:rPr/>
      </w:pPr>
      <w:r>
        <w:rPr/>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26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720"/>
      </w:pPr>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2000-06-23T18:30:00Z</dcterms:created>
  <dc:creator>Marcus Wood</dc:creator>
  <dc:description/>
  <dc:language>en-CA</dc:language>
  <cp:lastModifiedBy>Marcus Wood</cp:lastModifiedBy>
  <dcterms:modified xsi:type="dcterms:W3CDTF">2000-06-23T18:30:00Z</dcterms:modified>
  <cp:revision>2</cp:revision>
  <dc:subject/>
  <dc:title>STOEL RIVES LLP</dc:title>
</cp:coreProperties>
</file>