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color w:val="000000"/>
          <w:u w:val="single"/>
        </w:rPr>
      </w:pPr>
      <w:r>
        <w:rPr>
          <w:b/>
          <w:bCs/>
          <w:color w:val="000000"/>
          <w:u w:val="single"/>
        </w:rPr>
        <w:t>PG&amp;E Advice Letter Summary</w:t>
      </w:r>
    </w:p>
    <w:p>
      <w:pPr>
        <w:pStyle w:val="Body"/>
        <w:widowControl/>
        <w:ind w:hanging="0" w:end="0"/>
        <w:jc w:val="center"/>
        <w:rPr>
          <w:b/>
          <w:bCs/>
          <w:color w:val="000000"/>
          <w:u w:val="single"/>
        </w:rPr>
      </w:pPr>
      <w:r>
        <w:rPr>
          <w:b/>
          <w:bCs/>
          <w:color w:val="000000"/>
          <w:u w:val="single"/>
        </w:rPr>
        <w:t>December 7, 2000</w:t>
      </w:r>
    </w:p>
    <w:p>
      <w:pPr>
        <w:pStyle w:val="Body"/>
        <w:widowControl/>
        <w:ind w:hanging="0" w:end="0"/>
        <w:jc w:val="center"/>
        <w:rPr>
          <w:b/>
          <w:bCs/>
          <w:color w:val="000000"/>
          <w:u w:val="single"/>
        </w:rPr>
      </w:pP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2435"/>
        <w:gridCol w:w="270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2058-E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11/28/00</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12/18/00</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pPr>
            <w:r>
              <w:rPr>
                <w:b/>
                <w:bCs/>
                <w:color w:val="000000"/>
              </w:rPr>
              <w:t>Analysis:</w:t>
            </w:r>
            <w:r>
              <w:rPr>
                <w:color w:val="000000"/>
              </w:rPr>
              <w:t xml:space="preserve">  </w:t>
            </w:r>
          </w:p>
          <w:p>
            <w:pPr>
              <w:pStyle w:val="Normal"/>
              <w:tabs>
                <w:tab w:val="clear" w:pos="720"/>
                <w:tab w:val="right" w:pos="0" w:leader="none"/>
              </w:tabs>
              <w:ind w:end="144"/>
              <w:jc w:val="both"/>
              <w:rPr>
                <w:color w:val="000000"/>
              </w:rPr>
            </w:pPr>
            <w:r>
              <w:rPr>
                <w:color w:val="000000"/>
              </w:rPr>
              <w:t>The purpose of this filing is to submit PG&amp;E’s Electric Refund Plan with regard to credits for disallowances ordered by the Commission.  There have been no disallowances ordered by the Commission in the past year.  There is a $1.448 million carryover balance in the account.  The amount will be refunded based on revenues billed, and DA customers should get their fair share, as their respective PX Credits will be imputed as if they were still bundled customers.</w:t>
            </w:r>
          </w:p>
          <w:p>
            <w:pPr>
              <w:pStyle w:val="Normal"/>
              <w:tabs>
                <w:tab w:val="clear" w:pos="720"/>
                <w:tab w:val="right" w:pos="0" w:leader="none"/>
              </w:tabs>
              <w:ind w:end="144"/>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ind w:hanging="0" w:end="0"/>
        <w:jc w:val="center"/>
        <w:rPr>
          <w:b/>
          <w:bCs/>
          <w:color w:val="000000"/>
          <w:u w:val="single"/>
        </w:rPr>
      </w:pP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2435"/>
        <w:gridCol w:w="270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2280-G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11/30/00</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12/20/00</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right" w:pos="0" w:leader="none"/>
              </w:tabs>
              <w:ind w:end="144"/>
              <w:jc w:val="both"/>
              <w:rPr>
                <w:b/>
                <w:bCs/>
                <w:color w:val="000000"/>
              </w:rPr>
            </w:pPr>
            <w:r>
              <w:rPr>
                <w:b/>
                <w:bCs/>
                <w:color w:val="000000"/>
              </w:rPr>
              <w:t>Analysis:</w:t>
            </w:r>
          </w:p>
          <w:p>
            <w:pPr>
              <w:pStyle w:val="Normal"/>
              <w:tabs>
                <w:tab w:val="clear" w:pos="720"/>
                <w:tab w:val="right" w:pos="0" w:leader="none"/>
              </w:tabs>
              <w:ind w:end="144"/>
              <w:jc w:val="both"/>
              <w:rPr>
                <w:b/>
                <w:bCs/>
                <w:color w:val="000000"/>
              </w:rPr>
            </w:pPr>
            <w:r>
              <w:rPr>
                <w:b/>
                <w:bCs/>
                <w:color w:val="000000"/>
              </w:rPr>
            </w:r>
          </w:p>
          <w:p>
            <w:pPr>
              <w:pStyle w:val="Normal"/>
              <w:tabs>
                <w:tab w:val="clear" w:pos="720"/>
                <w:tab w:val="right" w:pos="0" w:leader="none"/>
              </w:tabs>
              <w:ind w:end="144"/>
              <w:jc w:val="both"/>
              <w:rPr/>
            </w:pPr>
            <w:r>
              <w:rPr/>
              <w:t>This advice letter implements revisions to gas Schedules G-CSP and G-SUR, effective 12/1/00.</w:t>
            </w:r>
          </w:p>
          <w:p>
            <w:pPr>
              <w:pStyle w:val="Normal"/>
              <w:tabs>
                <w:tab w:val="clear" w:pos="720"/>
                <w:tab w:val="right" w:pos="0" w:leader="none"/>
              </w:tabs>
              <w:ind w:end="144"/>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Heading1"/>
        <w:ind w:hanging="0" w:start="0"/>
        <w:rPr/>
      </w:pPr>
      <w:r>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2281-G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11/30/00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12/20/00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pPr>
            <w:r>
              <w:rPr>
                <w:b/>
                <w:bCs/>
                <w:color w:val="000000"/>
              </w:rPr>
              <w:t>Analysis:</w:t>
            </w:r>
            <w:r>
              <w:rPr>
                <w:color w:val="000000"/>
              </w:rPr>
              <w:t xml:space="preserve">  </w:t>
            </w:r>
          </w:p>
          <w:p>
            <w:pPr>
              <w:pStyle w:val="Normal"/>
              <w:widowControl/>
              <w:jc w:val="both"/>
              <w:rPr>
                <w:color w:val="000000"/>
              </w:rPr>
            </w:pPr>
            <w:r>
              <w:rPr>
                <w:color w:val="000000"/>
              </w:rPr>
              <w:t xml:space="preserve">The purpose of this filing is to submit changes to core transportation rates resulting from the Gas Accord D. 97-08-055, CEMA and the 2000 Cost of Capital adjustments.  </w:t>
            </w:r>
          </w:p>
          <w:p>
            <w:pPr>
              <w:pStyle w:val="Normal"/>
              <w:tabs>
                <w:tab w:val="clear" w:pos="720"/>
                <w:tab w:val="right" w:pos="0" w:leader="none"/>
              </w:tabs>
              <w:ind w:end="144"/>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spacing w:before="0" w:after="24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PG&amp;E Advice Letter Summary Chart</w:t>
    </w:r>
  </w:p>
  <w:p>
    <w:pPr>
      <w:pStyle w:val="Header"/>
      <w:widowControl/>
      <w:rPr/>
    </w:pPr>
    <w:r>
      <w:rPr/>
      <w:t>November 28, 2000</w:t>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Text2">
    <w:name w:val="Body Text 2"/>
    <w:basedOn w:val="Normal"/>
    <w:qFormat/>
    <w:pPr>
      <w:jc w:val="both"/>
    </w:pPr>
    <w:rPr>
      <w:rFonts w:ascii="Arial" w:hAnsi="Arial" w:eastAsia="Arial" w:cs="Arial"/>
      <w:color w:val="FF0000"/>
    </w:rPr>
  </w:style>
  <w:style w:type="paragraph" w:styleId="Body1">
    <w:name w:val="Body1"/>
    <w:basedOn w:val="Normal"/>
    <w:qFormat/>
    <w:pPr>
      <w:spacing w:before="0" w:after="240"/>
      <w:ind w:firstLine="1440" w:start="0" w:end="0"/>
    </w:pPr>
    <w:rPr/>
  </w:style>
  <w:style w:type="paragraph" w:styleId="BlockText">
    <w:name w:val="Block Text"/>
    <w:basedOn w:val="Normal"/>
    <w:qFormat/>
    <w:pPr>
      <w:widowControl/>
      <w:tabs>
        <w:tab w:val="clear" w:pos="720"/>
        <w:tab w:val="left" w:pos="1080" w:leader="none"/>
      </w:tabs>
      <w:ind w:hanging="0" w:start="1080" w:end="864"/>
      <w:jc w:val="both"/>
    </w:pPr>
    <w:rPr>
      <w:rFonts w:ascii="Arial" w:hAnsi="Arial" w:eastAsia="Arial" w:cs="Arial"/>
      <w:i/>
      <w:iCs/>
    </w:rPr>
  </w:style>
  <w:style w:type="paragraph" w:styleId="BodyText21">
    <w:name w:val="Body Text 21"/>
    <w:basedOn w:val="Normal"/>
    <w:qFormat/>
    <w:pPr>
      <w:ind w:hanging="0" w:start="360" w:end="0"/>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2000-12-07T16:07:00Z</dcterms:created>
  <dc:creator>Arter &amp; Hadden</dc:creator>
  <dc:description/>
  <dc:language>en-CA</dc:language>
  <cp:lastModifiedBy>Arter &amp; Hadden</cp:lastModifiedBy>
  <cp:lastPrinted>2000-12-07T10:37:00Z</cp:lastPrinted>
  <dcterms:modified xsi:type="dcterms:W3CDTF">2000-12-07T16:07:00Z</dcterms:modified>
  <cp:revision>2</cp:revision>
  <dc:subject/>
  <dc:title>A</dc:title>
</cp:coreProperties>
</file>