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ind w:hanging="0" w:end="0"/>
        <w:jc w:val="center"/>
        <w:rPr>
          <w:b/>
          <w:u w:val="single"/>
        </w:rPr>
      </w:pPr>
      <w:r>
        <w:rPr>
          <w:b/>
          <w:u w:val="single"/>
        </w:rPr>
        <w:t>SDG&amp;E Advice Letter Summary</w:t>
      </w:r>
    </w:p>
    <w:p>
      <w:pPr>
        <w:pStyle w:val="Body"/>
        <w:ind w:hanging="0" w:end="0"/>
        <w:jc w:val="center"/>
        <w:rPr/>
      </w:pPr>
      <w:r>
        <w:rPr/>
        <w:t>December 6, 2000</w:t>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1272-E</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11/27/00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12/18/00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rPr>
            </w:pPr>
            <w:r>
              <w:rPr>
                <w:b/>
              </w:rPr>
              <w:t xml:space="preserve">Analysis:  </w:t>
            </w:r>
          </w:p>
          <w:p>
            <w:pPr>
              <w:pStyle w:val="Normal"/>
              <w:jc w:val="both"/>
              <w:rPr/>
            </w:pPr>
            <w:r>
              <w:rPr/>
              <w:t xml:space="preserve">This advice letter filing establishes an Electric Meter Pilot Memorandum Account, pursuant to SB 1388, which directed the CPUC to conduct a pilot study to assist residential and small commercial customers to better manage their electricity use.  SDG&amp;E estimates the cost of the study to be between $10 and $20 million, which will be allocated to these customers in rates. </w:t>
            </w:r>
          </w:p>
          <w:p>
            <w:pPr>
              <w:pStyle w:val="Normal"/>
              <w:jc w:val="both"/>
              <w:rPr/>
            </w:pPr>
            <w:r>
              <w:rPr/>
            </w:r>
          </w:p>
          <w:p>
            <w:pPr>
              <w:pStyle w:val="Normal"/>
              <w:jc w:val="both"/>
              <w:rPr/>
            </w:pPr>
            <w:r>
              <w:rPr/>
              <w:t>The advice letter says that the data will be provided to the Commission on or before 3/31/02, but it doesn’t say if it will be made generally available.  It might be a good idea to file a brief letter supporting the advice letter, but asking the Commission to make clear that the data will be made available to all parties.  Also, it might be worthwhile to have SDG&amp;E detail how the study will be conducted.</w:t>
            </w:r>
          </w:p>
          <w:p>
            <w:pPr>
              <w:pStyle w:val="Normal"/>
              <w:tabs>
                <w:tab w:val="clear" w:pos="720"/>
                <w:tab w:val="left" w:pos="9180" w:leader="none"/>
              </w:tabs>
              <w:ind w:start="720" w:end="0"/>
              <w:jc w:val="both"/>
              <w:rPr/>
            </w:pPr>
            <w:r>
              <w:rPr/>
            </w:r>
          </w:p>
        </w:tc>
      </w:tr>
    </w:tbl>
    <w:p>
      <w:pPr>
        <w:pStyle w:val="Body"/>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1273-E / 1227-G</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12/4/00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pPr>
            <w:r>
              <w:rPr/>
              <w:t>12/24/00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rPr>
            </w:pPr>
            <w:r>
              <w:rPr>
                <w:b/>
              </w:rPr>
              <w:t xml:space="preserve">Analysis:  </w:t>
            </w:r>
          </w:p>
          <w:p>
            <w:pPr>
              <w:pStyle w:val="Normal"/>
              <w:tabs>
                <w:tab w:val="clear" w:pos="720"/>
                <w:tab w:val="left" w:pos="9180" w:leader="none"/>
              </w:tabs>
              <w:jc w:val="both"/>
              <w:rPr/>
            </w:pPr>
            <w:r>
              <w:rPr/>
              <w:t>This advice letter filing revises electric and gas bill forms to include a description of the Electric Energy Rate Adjustment resulting from the 6.5 cents/kWh energy rate ceiling adopted by the CPUC.</w:t>
            </w:r>
          </w:p>
          <w:p>
            <w:pPr>
              <w:pStyle w:val="Normal"/>
              <w:tabs>
                <w:tab w:val="clear" w:pos="720"/>
                <w:tab w:val="left" w:pos="9180" w:leader="none"/>
              </w:tabs>
              <w:jc w:val="both"/>
              <w:rPr/>
            </w:pPr>
            <w:r>
              <w:rPr/>
            </w:r>
          </w:p>
        </w:tc>
      </w:tr>
    </w:tbl>
    <w:p>
      <w:pPr>
        <w:pStyle w:val="Body"/>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1274-E</w:t>
            </w:r>
          </w:p>
        </w:tc>
        <w:tc>
          <w:tcPr>
            <w:tcW w:w="1490"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12/5/00</w:t>
            </w:r>
          </w:p>
        </w:tc>
        <w:tc>
          <w:tcPr>
            <w:tcW w:w="1684"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pPr>
            <w:r>
              <w:rPr/>
              <w:t>12/26/00</w:t>
            </w:r>
          </w:p>
        </w:tc>
        <w:tc>
          <w:tcPr>
            <w:tcW w:w="3469" w:type="dxa"/>
            <w:tcBorders>
              <w:top w:val="single" w:sz="6" w:space="0" w:color="000000"/>
              <w:start w:val="single" w:sz="6" w:space="0" w:color="000000"/>
              <w:bottom w:val="single" w:sz="6" w:space="0" w:color="000000"/>
              <w:end w:val="single" w:sz="6" w:space="0" w:color="000000"/>
            </w:tcBorders>
          </w:tcPr>
          <w:p>
            <w:pPr>
              <w:pStyle w:val="Body"/>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spacing w:before="0" w:after="0"/>
              <w:ind w:hanging="0" w:end="0"/>
              <w:rPr>
                <w:b/>
              </w:rPr>
            </w:pPr>
            <w:r>
              <w:rPr>
                <w:b/>
              </w:rPr>
              <w:t xml:space="preserve">Analysis:  </w:t>
            </w:r>
          </w:p>
          <w:p>
            <w:pPr>
              <w:pStyle w:val="Normal"/>
              <w:rPr/>
            </w:pPr>
            <w:r>
              <w:rPr/>
              <w:t>This advice letter filing is purportedly designed to “clean up” their electric tariffs to account for the scheduling of load through the PX/ISO, as authorized by D.00-09-075.  This was the decision which authorized bilateral purchases of energy and ancillary services.  The “clean-ups” are to delete references specifically to the PX and/or ISO and insert more general language, including a revision to the title.  For example, Schedule PX will become Schedule EECC (Electric Energy Commodity Cost).</w:t>
            </w:r>
          </w:p>
          <w:p>
            <w:pPr>
              <w:pStyle w:val="Normal"/>
              <w:jc w:val="both"/>
              <w:rPr/>
            </w:pPr>
            <w:r>
              <w:rPr/>
            </w:r>
          </w:p>
        </w:tc>
      </w:tr>
    </w:tbl>
    <w:p>
      <w:pPr>
        <w:pStyle w:val="Body"/>
        <w:spacing w:before="0" w:after="240"/>
        <w:ind w:hanging="0" w:end="0"/>
        <w:jc w:val="center"/>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p>
          <w:pPr>
            <w:pStyle w:val="FooterTxt"/>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w:t>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SDG&amp;E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docVars>
    <w:docVar w:name="DOC_TYPE" w:val="MISC"/>
    <w:docVar w:name="DOC_VIEW" w:val="85"/>
    <w:docVar w:name="FULL_NAME" w:val="Daniel W. Douglass"/>
    <w:docVar w:name="USER_ID" w:val="DD9"/>
    <w:docVar w:name="VER" w:val="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sz w:val="24"/>
    </w:rPr>
  </w:style>
  <w:style w:type="paragraph" w:styleId="Heading3">
    <w:name w:val="heading 3"/>
    <w:basedOn w:val="Normal"/>
    <w:next w:val="Normal"/>
    <w:qFormat/>
    <w:pPr>
      <w:numPr>
        <w:ilvl w:val="2"/>
        <w:numId w:val="1"/>
      </w:numPr>
      <w:ind w:hanging="720" w:start="2160" w:end="0"/>
      <w:outlineLvl w:val="2"/>
    </w:pPr>
    <w:rPr>
      <w:b/>
      <w:sz w:val="24"/>
    </w:rPr>
  </w:style>
  <w:style w:type="paragraph" w:styleId="Heading4">
    <w:name w:val="heading 4"/>
    <w:basedOn w:val="Normal"/>
    <w:next w:val="Normal"/>
    <w:qFormat/>
    <w:pPr>
      <w:numPr>
        <w:ilvl w:val="3"/>
        <w:numId w:val="1"/>
      </w:numPr>
      <w:ind w:hanging="720" w:start="2880" w:end="0"/>
      <w:outlineLvl w:val="3"/>
    </w:pPr>
    <w:rPr>
      <w:b/>
      <w:sz w:val="24"/>
    </w:rPr>
  </w:style>
  <w:style w:type="paragraph" w:styleId="Heading5">
    <w:name w:val="heading 5"/>
    <w:basedOn w:val="Normal"/>
    <w:next w:val="Normal"/>
    <w:qFormat/>
    <w:pPr>
      <w:numPr>
        <w:ilvl w:val="4"/>
        <w:numId w:val="1"/>
      </w:numPr>
      <w:ind w:hanging="720" w:start="3600" w:end="0"/>
      <w:outlineLvl w:val="4"/>
    </w:pPr>
    <w:rPr>
      <w:b/>
      <w:sz w:val="24"/>
    </w:rPr>
  </w:style>
  <w:style w:type="paragraph" w:styleId="Heading6">
    <w:name w:val="heading 6"/>
    <w:basedOn w:val="Normal"/>
    <w:next w:val="Normal"/>
    <w:qFormat/>
    <w:pPr>
      <w:numPr>
        <w:ilvl w:val="5"/>
        <w:numId w:val="1"/>
      </w:numPr>
      <w:ind w:hanging="720" w:start="4320" w:end="0"/>
      <w:outlineLvl w:val="5"/>
    </w:pPr>
    <w:rPr>
      <w:b/>
      <w:sz w:val="24"/>
    </w:rPr>
  </w:style>
  <w:style w:type="paragraph" w:styleId="Heading7">
    <w:name w:val="heading 7"/>
    <w:basedOn w:val="Normal"/>
    <w:next w:val="Normal"/>
    <w:qFormat/>
    <w:pPr>
      <w:numPr>
        <w:ilvl w:val="6"/>
        <w:numId w:val="1"/>
      </w:numPr>
      <w:ind w:hanging="720" w:start="5040" w:end="0"/>
      <w:outlineLvl w:val="6"/>
    </w:pPr>
    <w:rPr>
      <w:b/>
      <w:sz w:val="24"/>
    </w:rPr>
  </w:style>
  <w:style w:type="paragraph" w:styleId="Heading8">
    <w:name w:val="heading 8"/>
    <w:basedOn w:val="Normal"/>
    <w:next w:val="Normal"/>
    <w:qFormat/>
    <w:pPr>
      <w:numPr>
        <w:ilvl w:val="7"/>
        <w:numId w:val="1"/>
      </w:numPr>
      <w:ind w:hanging="720" w:start="5760" w:end="0"/>
      <w:outlineLvl w:val="7"/>
    </w:pPr>
    <w:rPr>
      <w:b/>
      <w:sz w:val="24"/>
    </w:rPr>
  </w:style>
  <w:style w:type="paragraph" w:styleId="Heading9">
    <w:name w:val="heading 9"/>
    <w:basedOn w:val="Normal"/>
    <w:next w:val="Normal"/>
    <w:qFormat/>
    <w:pPr>
      <w:numPr>
        <w:ilvl w:val="8"/>
        <w:numId w:val="1"/>
      </w:numPr>
      <w:ind w:hanging="720" w:start="6480" w:end="0"/>
      <w:outlineLvl w:val="8"/>
    </w:pPr>
    <w:rPr>
      <w:b/>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rPr>
  </w:style>
  <w:style w:type="character" w:styleId="BoldUnd">
    <w:name w:val="BoldUnd"/>
    <w:basedOn w:val="DefaultParagraphFont"/>
    <w:qFormat/>
    <w:rPr>
      <w:b/>
      <w:u w:val="single"/>
    </w:rPr>
  </w:style>
  <w:style w:type="character" w:styleId="Underline">
    <w:name w:val="Underline"/>
    <w:basedOn w:val="DefaultParagraphFont"/>
    <w:qFormat/>
    <w:rPr>
      <w:u w:val="single"/>
    </w:rPr>
  </w:style>
  <w:style w:type="character" w:styleId="FieldMark">
    <w:name w:val="FieldMark"/>
    <w:basedOn w:val="DefaultParagraphFont"/>
    <w:qFormat/>
    <w:rPr>
      <w:b/>
      <w:color w:val="0000FF"/>
    </w:rPr>
  </w:style>
  <w:style w:type="character" w:styleId="OptionalParas">
    <w:name w:val="OptionalParas"/>
    <w:basedOn w:val="DefaultParagraphFont"/>
    <w:qFormat/>
    <w:rPr>
      <w:color w:val="0000FF"/>
    </w:rPr>
  </w:style>
  <w:style w:type="character" w:styleId="Strong">
    <w:name w:val="Strong"/>
    <w:qFormat/>
    <w:rPr>
      <w:b/>
    </w:rPr>
  </w:style>
  <w:style w:type="character" w:styleId="DocTitle">
    <w:name w:val="DocTitle"/>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lang w:val="en-CA" w:eastAsia="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eastAsia="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eastAsia="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eastAsia="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eastAsia="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
    <w:name w:val="Body Text 2"/>
    <w:basedOn w:val="Normal"/>
    <w:qFormat/>
    <w:pPr>
      <w:widowControl w:val="false"/>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2000-12-06T13:38:00Z</dcterms:created>
  <dc:creator>Arter &amp; Hadden</dc:creator>
  <dc:description/>
  <dc:language>en-CA</dc:language>
  <cp:lastModifiedBy>Arter &amp; Hadden LLP</cp:lastModifiedBy>
  <cp:lastPrinted>2000-11-06T10:35:00Z</cp:lastPrinted>
  <dcterms:modified xsi:type="dcterms:W3CDTF">2000-12-06T14:23:00Z</dcterms:modified>
  <cp:revision>4</cp:revision>
  <dc:subject/>
  <dc:title>A</dc:title>
</cp:coreProperties>
</file>