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Edison Advice Letter Summary</w:t>
      </w:r>
    </w:p>
    <w:p>
      <w:pPr>
        <w:pStyle w:val="Body"/>
        <w:widowControl/>
        <w:spacing w:before="0" w:after="0"/>
        <w:ind w:hanging="0" w:end="0"/>
        <w:jc w:val="center"/>
        <w:rPr>
          <w:b/>
          <w:bCs/>
          <w:u w:val="single"/>
        </w:rPr>
      </w:pPr>
      <w:r>
        <w:rPr>
          <w:b/>
          <w:bCs/>
          <w:u w:val="single"/>
        </w:rPr>
        <w:t>December 3, 2000</w:t>
      </w:r>
    </w:p>
    <w:p>
      <w:pPr>
        <w:pStyle w:val="Body"/>
        <w:widowControl/>
        <w:spacing w:before="0" w:after="0"/>
        <w:ind w:hanging="0" w:end="0"/>
        <w:jc w:val="center"/>
        <w:rPr>
          <w:b/>
          <w:bCs/>
          <w:u w:val="single"/>
        </w:rPr>
      </w:pPr>
      <w:r>
        <w:rPr>
          <w:b/>
          <w:bCs/>
          <w:u w:val="single"/>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1497-E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11/17/00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12/7/00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May Be of Interest</w:t>
            </w:r>
          </w:p>
        </w:tc>
        <w:tc>
          <w:tcPr>
            <w:tcW w:w="5760" w:type="dxa"/>
            <w:gridSpan w:val="4"/>
            <w:tcBorders/>
            <w:tcMar>
              <w:start w:w="0" w:type="dxa"/>
              <w:end w:w="0" w:type="dxa"/>
            </w:tcMar>
          </w:tcPr>
          <w:p>
            <w:pPr>
              <w:pStyle w:val="Normal"/>
              <w:snapToGrid w:val="false"/>
              <w:rPr>
                <w:b/>
                <w:bCs/>
              </w:rPr>
            </w:pPr>
            <w:r>
              <w:rPr>
                <w:b/>
                <w:bCs/>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start="360" w:end="0"/>
              <w:rPr>
                <w:b/>
                <w:bCs/>
              </w:rPr>
            </w:pPr>
            <w:r>
              <w:rPr>
                <w:b/>
                <w:bCs/>
              </w:rPr>
              <w:t xml:space="preserve">Analysis:  </w:t>
            </w:r>
          </w:p>
          <w:p>
            <w:pPr>
              <w:pStyle w:val="Body"/>
              <w:widowControl/>
              <w:spacing w:before="0" w:after="0"/>
              <w:ind w:hanging="0" w:start="360" w:end="360"/>
              <w:jc w:val="both"/>
              <w:rPr/>
            </w:pPr>
            <w:r>
              <w:rPr/>
              <w:t>This advice filing is made in compliance with D.00-10-047, which adopted a settlement between Edison and ORA in the 1999 ATCP.  It also sets forth adjustments to the utility’s TCBA and related memorandum accounts, as required by the settlement.</w:t>
            </w:r>
          </w:p>
          <w:p>
            <w:pPr>
              <w:pStyle w:val="Body"/>
              <w:widowControl/>
              <w:spacing w:before="0" w:after="0"/>
              <w:ind w:hanging="0" w:start="360" w:end="360"/>
              <w:jc w:val="both"/>
              <w:rPr/>
            </w:pPr>
            <w:r>
              <w:rPr/>
            </w:r>
          </w:p>
          <w:p>
            <w:pPr>
              <w:pStyle w:val="Body"/>
              <w:widowControl/>
              <w:spacing w:before="0" w:after="0"/>
              <w:ind w:hanging="0" w:start="360" w:end="360"/>
              <w:jc w:val="both"/>
              <w:rPr/>
            </w:pPr>
            <w:r>
              <w:rPr/>
              <w:t>This may be of interest from an accounting perspective.</w:t>
            </w:r>
          </w:p>
          <w:p>
            <w:pPr>
              <w:pStyle w:val="Body"/>
              <w:widowControl/>
              <w:spacing w:before="0" w:after="0"/>
              <w:ind w:hanging="0" w:start="360" w:end="36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b/>
          <w:bCs/>
          <w:u w:val="single"/>
        </w:rPr>
      </w:pPr>
      <w:r>
        <w:rPr>
          <w:b/>
          <w:bCs/>
          <w:u w:val="single"/>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1498-E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11/17/00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12/7/00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May Be of Interest</w:t>
            </w:r>
          </w:p>
        </w:tc>
        <w:tc>
          <w:tcPr>
            <w:tcW w:w="5760" w:type="dxa"/>
            <w:gridSpan w:val="4"/>
            <w:tcBorders/>
            <w:tcMar>
              <w:start w:w="0" w:type="dxa"/>
              <w:end w:w="0" w:type="dxa"/>
            </w:tcMar>
          </w:tcPr>
          <w:p>
            <w:pPr>
              <w:pStyle w:val="Normal"/>
              <w:snapToGrid w:val="false"/>
              <w:rPr>
                <w:b/>
                <w:bCs/>
              </w:rPr>
            </w:pPr>
            <w:r>
              <w:rPr>
                <w:b/>
                <w:bCs/>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start="360" w:end="0"/>
              <w:rPr>
                <w:b/>
                <w:bCs/>
              </w:rPr>
            </w:pPr>
            <w:r>
              <w:rPr>
                <w:b/>
                <w:bCs/>
              </w:rPr>
              <w:t xml:space="preserve">Analysis:  </w:t>
            </w:r>
          </w:p>
          <w:p>
            <w:pPr>
              <w:pStyle w:val="Normal"/>
              <w:jc w:val="both"/>
              <w:rPr/>
            </w:pPr>
            <w:r>
              <w:rPr/>
              <w:t>This advice filing is made in compliance with D.00-110-001, the first decision in the distributed generation proceeding, which adopted a model Tariff to be adopted by the utilities as Rule 21, governing interconnection standards for non-utility-owned generation.</w:t>
            </w:r>
          </w:p>
          <w:p>
            <w:pPr>
              <w:pStyle w:val="Normal"/>
              <w:jc w:val="both"/>
              <w:rPr/>
            </w:pPr>
            <w:r>
              <w:rPr/>
            </w:r>
          </w:p>
          <w:p>
            <w:pPr>
              <w:pStyle w:val="Normal"/>
              <w:jc w:val="both"/>
              <w:rPr/>
            </w:pPr>
            <w:r>
              <w:rPr/>
              <w:t>If Enron is interested in distributed generation, then it may want to review this tariff and become familiar with its terms.</w:t>
            </w:r>
          </w:p>
          <w:p>
            <w:pPr>
              <w:pStyle w:val="Body"/>
              <w:widowControl/>
              <w:spacing w:before="0" w:after="0"/>
              <w:ind w:hanging="0" w:start="360" w:end="360"/>
              <w:jc w:val="both"/>
              <w:rPr/>
            </w:pPr>
            <w:r>
              <w:rPr/>
            </w:r>
          </w:p>
          <w:p>
            <w:pPr>
              <w:pStyle w:val="Body"/>
              <w:widowControl/>
              <w:spacing w:before="0" w:after="0"/>
              <w:ind w:hanging="0" w:start="360" w:end="36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b/>
          <w:bCs/>
          <w:u w:val="single"/>
        </w:rPr>
      </w:pPr>
      <w:r>
        <w:rPr>
          <w:b/>
          <w:bCs/>
          <w:u w:val="single"/>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1499-E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11/22/00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12/12/00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Should Be Reviewed</w:t>
            </w:r>
          </w:p>
        </w:tc>
        <w:tc>
          <w:tcPr>
            <w:tcW w:w="5760" w:type="dxa"/>
            <w:gridSpan w:val="4"/>
            <w:tcBorders/>
            <w:tcMar>
              <w:start w:w="0" w:type="dxa"/>
              <w:end w:w="0" w:type="dxa"/>
            </w:tcMar>
          </w:tcPr>
          <w:p>
            <w:pPr>
              <w:pStyle w:val="Normal"/>
              <w:snapToGrid w:val="false"/>
              <w:rPr>
                <w:b/>
                <w:bCs/>
              </w:rPr>
            </w:pPr>
            <w:r>
              <w:rPr>
                <w:b/>
                <w:bCs/>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start="360" w:end="0"/>
              <w:rPr>
                <w:b/>
                <w:bCs/>
              </w:rPr>
            </w:pPr>
            <w:r>
              <w:rPr>
                <w:b/>
                <w:bCs/>
              </w:rPr>
              <w:t xml:space="preserve">Analysis:  </w:t>
            </w:r>
          </w:p>
          <w:p>
            <w:pPr>
              <w:pStyle w:val="Normal"/>
              <w:jc w:val="both"/>
              <w:rPr/>
            </w:pPr>
            <w:r>
              <w:rPr/>
              <w:t>This advice filing revises Schedule PX to reflect an increase to the purchase limits for bilateral and BFM products.  As background, when Edison filed its AL 1429-E last January, it requested that its trading limits be based on its “net short” position for the relevant quarter.  At that time, Edison said that its net short position would likely increase in the future due to further generation divestiture or load growth.  In response to subsequent advice letters, the Commission authorized further increases to the trading limits.  The utility cites FERC’s November 1 Order with regard to the need for the utilities have greater forward purchasing and risk management tools, load growth and the return of direct access customers as the justification for the Commission to increase the current forward purchase limits.</w:t>
            </w:r>
          </w:p>
          <w:p>
            <w:pPr>
              <w:pStyle w:val="Normal"/>
              <w:jc w:val="both"/>
              <w:rPr/>
            </w:pPr>
            <w:r>
              <w:rPr/>
              <w:t>The utility now requests that the combined limits for forward energy and capacity procurement be increased to 4,400, 5,800, 9,600 and 6,800 MW for the first through fourth quarters, respectively.  In addition, the utility requests further adders, to reflect further divestiture and QF generation that may switch to PX-based pricing to increase these limits up to 8,300, 9,700,13,500 and 10,700 MW for these quarters.  The advice letter provides a series of tables which summarize various events which, should they occur, would enable Edison to automatically increase its purchase limits, without further advice letters.  Instead, the utility would only submit a compliance letter which informed the Commission that the event had occurred and the limits were being increased.</w:t>
            </w:r>
          </w:p>
          <w:p>
            <w:pPr>
              <w:pStyle w:val="Normal"/>
              <w:jc w:val="both"/>
              <w:rPr/>
            </w:pPr>
            <w:r>
              <w:rPr/>
            </w:r>
          </w:p>
          <w:p>
            <w:pPr>
              <w:pStyle w:val="Normal"/>
              <w:jc w:val="both"/>
              <w:rPr/>
            </w:pPr>
            <w:r>
              <w:rPr/>
              <w:t>This advice letter should be reviewed to see if Enron agrees with the new limits, the proposed adders and the automatic approval process.</w:t>
            </w:r>
          </w:p>
          <w:p>
            <w:pPr>
              <w:pStyle w:val="Body"/>
              <w:widowControl/>
              <w:spacing w:before="0" w:after="0"/>
              <w:ind w:end="36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b/>
          <w:bCs/>
          <w:u w:val="single"/>
        </w:rPr>
      </w:pPr>
      <w:r>
        <w:rPr>
          <w:b/>
          <w:bCs/>
          <w:u w:val="single"/>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1500-E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11/22/00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12/12/00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May Be of Interest</w:t>
            </w:r>
          </w:p>
        </w:tc>
        <w:tc>
          <w:tcPr>
            <w:tcW w:w="5760" w:type="dxa"/>
            <w:gridSpan w:val="4"/>
            <w:tcBorders/>
            <w:tcMar>
              <w:start w:w="0" w:type="dxa"/>
              <w:end w:w="0" w:type="dxa"/>
            </w:tcMar>
          </w:tcPr>
          <w:p>
            <w:pPr>
              <w:pStyle w:val="Normal"/>
              <w:snapToGrid w:val="false"/>
              <w:rPr>
                <w:b/>
                <w:bCs/>
              </w:rPr>
            </w:pPr>
            <w:r>
              <w:rPr>
                <w:b/>
                <w:bCs/>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start="360" w:end="0"/>
              <w:rPr>
                <w:b/>
                <w:bCs/>
              </w:rPr>
            </w:pPr>
            <w:r>
              <w:rPr>
                <w:b/>
                <w:bCs/>
              </w:rPr>
              <w:t xml:space="preserve">Analysis:  </w:t>
            </w:r>
          </w:p>
          <w:p>
            <w:pPr>
              <w:pStyle w:val="Normal"/>
              <w:jc w:val="both"/>
              <w:rPr/>
            </w:pPr>
            <w:r>
              <w:rPr/>
              <w:t>This advice letter revises Schedule PX to reflect the use of gross load, rather than net load for self-generation customers in calculating the Grid Management Charge applicable to customers, as assessed by the ISO.  This filing is made in response to ISO’s November 1 filing at FERC to unbundle the GMC applicable to scheduling coordinators.  ISO proposes that the Control Area Services Charge be assessed to SCs for all loads behind the end user’s meter, including loads served by on-site generation.  Edison is therefore revising Schedule PX to reflect the use of gross load in the determination of the GMC for self-generating customers.</w:t>
            </w:r>
          </w:p>
          <w:p>
            <w:pPr>
              <w:pStyle w:val="Body"/>
              <w:widowControl/>
              <w:spacing w:before="0" w:after="0"/>
              <w:ind w:hanging="0" w:start="360" w:end="36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b/>
          <w:bCs/>
          <w:u w:val="single"/>
        </w:rPr>
      </w:pPr>
      <w:r>
        <w:rPr>
          <w:b/>
          <w:bCs/>
          <w:u w:val="single"/>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1501-E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11/28/00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12/18/00</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c>
          <w:tcPr>
            <w:tcW w:w="5760" w:type="dxa"/>
            <w:gridSpan w:val="4"/>
            <w:tcBorders/>
            <w:tcMar>
              <w:start w:w="0" w:type="dxa"/>
              <w:end w:w="0" w:type="dxa"/>
            </w:tcMar>
          </w:tcPr>
          <w:p>
            <w:pPr>
              <w:pStyle w:val="Normal"/>
              <w:snapToGrid w:val="false"/>
              <w:rPr>
                <w:b/>
                <w:bCs/>
              </w:rPr>
            </w:pPr>
            <w:r>
              <w:rPr>
                <w:b/>
                <w:bCs/>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start="360" w:end="0"/>
              <w:rPr>
                <w:b/>
                <w:bCs/>
              </w:rPr>
            </w:pPr>
            <w:r>
              <w:rPr>
                <w:b/>
                <w:bCs/>
              </w:rPr>
              <w:t xml:space="preserve">Analysis:  </w:t>
            </w:r>
          </w:p>
          <w:p>
            <w:pPr>
              <w:pStyle w:val="Normal"/>
              <w:jc w:val="both"/>
              <w:rPr/>
            </w:pPr>
            <w:r>
              <w:rPr/>
              <w:t>This advice filing requests approval of amendments to the Qualified Trust Investment Management Agreement for future nuclear decommissioning.  The amendment provides a reduction in the investment management fees.</w:t>
            </w:r>
          </w:p>
          <w:p>
            <w:pPr>
              <w:pStyle w:val="Body"/>
              <w:widowControl/>
              <w:spacing w:before="0" w:after="0"/>
              <w:ind w:hanging="0" w:start="360" w:end="36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Edison Advice Letter Summary</w:t>
    </w:r>
  </w:p>
  <w:p>
    <w:pPr>
      <w:pStyle w:val="Header"/>
      <w:widowControl/>
      <w:rPr/>
    </w:pPr>
    <w:r>
      <w:rPr/>
      <w:t>December 3,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Level1">
    <w:name w:val="Level 1"/>
    <w:basedOn w:val="Normal"/>
    <w:next w:val="Normal"/>
    <w:qFormat/>
    <w:pPr>
      <w:suppressAutoHyphens w:val="true"/>
      <w:spacing w:lineRule="exact" w:line="200" w:before="0" w:after="200"/>
      <w:ind w:hanging="432" w:start="864" w:end="0"/>
    </w:pPr>
    <w:rPr>
      <w:rFonts w:ascii="Arial" w:hAnsi="Arial" w:eastAsia="Arial" w:cs="Arial"/>
      <w:sz w:val="18"/>
      <w:szCs w:val="18"/>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2000-12-04T13:51:00Z</dcterms:created>
  <dc:creator>Arter &amp; Hadden</dc:creator>
  <dc:description/>
  <dc:language>en-CA</dc:language>
  <cp:lastModifiedBy>Arter &amp; Hadden</cp:lastModifiedBy>
  <cp:lastPrinted>2000-11-06T10:11:00Z</cp:lastPrinted>
  <dcterms:modified xsi:type="dcterms:W3CDTF">2000-12-04T14:24:00Z</dcterms:modified>
  <cp:revision>6</cp:revision>
  <dc:subject/>
  <dc:title>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