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t>Application of PG&amp;E for Verification, etc.</w:t>
            </w:r>
          </w:p>
        </w:tc>
        <w:tc>
          <w:tcPr>
            <w:tcW w:w="3600" w:type="dxa"/>
            <w:tcBorders/>
          </w:tcPr>
          <w:p>
            <w:pPr>
              <w:pStyle w:val="standard"/>
              <w:spacing w:lineRule="exact" w:line="240" w:before="120" w:after="120"/>
              <w:ind w:hanging="0" w:end="0"/>
              <w:rPr>
                <w:rFonts w:ascii="Times New Roman" w:hAnsi="Times New Roman" w:cs="Times New Roman"/>
                <w:sz w:val="24"/>
              </w:rPr>
            </w:pPr>
            <w:r>
              <w:rPr>
                <w:rFonts w:cs="Times New Roman" w:ascii="Times New Roman" w:hAnsi="Times New Roman"/>
                <w:sz w:val="24"/>
              </w:rPr>
              <w:t>A.98-07-003</w:t>
            </w:r>
          </w:p>
          <w:p>
            <w:pPr>
              <w:pStyle w:val="standard"/>
              <w:spacing w:lineRule="exact" w:line="240" w:before="0" w:after="120"/>
              <w:ind w:hanging="0" w:end="0"/>
              <w:rPr>
                <w:rFonts w:ascii="Times New Roman" w:hAnsi="Times New Roman" w:cs="Times New Roman"/>
                <w:sz w:val="24"/>
              </w:rPr>
            </w:pPr>
            <w:r>
              <w:rPr>
                <w:rFonts w:cs="Times New Roman" w:ascii="Times New Roman" w:hAnsi="Times New Roman"/>
                <w:sz w:val="24"/>
              </w:rPr>
              <w:t>(Implementation of Suspension of Direct Access)</w:t>
            </w:r>
          </w:p>
        </w:tc>
      </w:tr>
    </w:tbl>
    <w:p>
      <w:pPr>
        <w:pStyle w:val="Normal"/>
        <w:suppressAutoHyphens w:val="true"/>
        <w:rPr/>
      </w:pPr>
      <w:r>
        <w:rPr/>
      </w:r>
    </w:p>
    <w:p>
      <w:pPr>
        <w:pStyle w:val="Normal"/>
        <w:suppressAutoHyphens w:val="true"/>
        <w:rPr/>
      </w:pPr>
      <w:r>
        <w:rPr/>
      </w:r>
    </w:p>
    <w:p>
      <w:pPr>
        <w:pStyle w:val="Normal"/>
        <w:suppressAutoHyphens w:val="true"/>
        <w:rPr/>
      </w:pPr>
      <w:r>
        <w:rPr/>
      </w:r>
    </w:p>
    <w:p>
      <w:pPr>
        <w:pStyle w:val="Normal"/>
        <w:suppressAutoHyphens w:val="true"/>
        <w:rPr/>
      </w:pPr>
      <w:r>
        <w:rPr/>
      </w:r>
    </w:p>
    <w:p>
      <w:pPr>
        <w:pStyle w:val="Normal"/>
        <w:suppressAutoHyphens w:val="true"/>
        <w:rPr/>
      </w:pPr>
      <w:r>
        <w:rPr/>
      </w:r>
    </w:p>
    <w:p>
      <w:pPr>
        <w:pStyle w:val="NormalWeb"/>
        <w:jc w:val="center"/>
        <w:rPr>
          <w:b/>
        </w:rPr>
      </w:pPr>
      <w:r>
        <w:rPr>
          <w:b/>
        </w:rPr>
        <w:t>RESPONSE OF SAN DIEGO GAS &amp; ELECTRIC COMPANY TO</w:t>
        <w:br/>
        <w:t>MOTION OF THE CALIFORNIA MANUFACTURERS &amp; TECHNOLOGY ASSOCIATION, AND CALIFORNIA LARGE ENERGY CONSUMERS</w:t>
        <w:br/>
        <w:t>ASSOCIATION, FOR LEAVE TO FILE A SUPPLEMENTAL PROPOSAL</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ind w:start="4320" w:end="0"/>
        <w:rPr/>
      </w:pPr>
      <w:r>
        <w:rPr/>
        <w:t>David B. Follett</w:t>
      </w:r>
    </w:p>
    <w:p>
      <w:pPr>
        <w:pStyle w:val="Normal"/>
        <w:ind w:start="4320" w:end="0"/>
        <w:rPr/>
      </w:pPr>
      <w:r>
        <w:rPr/>
        <w:t>David J. Gilmore</w:t>
      </w:r>
    </w:p>
    <w:p>
      <w:pPr>
        <w:pStyle w:val="Normal"/>
        <w:ind w:start="4320" w:end="0"/>
        <w:rPr/>
      </w:pPr>
      <w:r>
        <w:rPr/>
        <w:t>Paul A. Szymanski</w:t>
      </w:r>
    </w:p>
    <w:p>
      <w:pPr>
        <w:pStyle w:val="Normal"/>
        <w:ind w:start="4320" w:end="0"/>
        <w:rPr/>
      </w:pPr>
      <w:r>
        <w:rPr/>
        <w:t>Attorneys for:</w:t>
      </w:r>
    </w:p>
    <w:p>
      <w:pPr>
        <w:pStyle w:val="Normal"/>
        <w:ind w:start="4320" w:end="0"/>
        <w:rPr/>
      </w:pPr>
      <w:r>
        <w:rPr/>
        <w:t>SAN DIEGO GAS &amp; ELECTRIC COMPANY</w:t>
      </w:r>
    </w:p>
    <w:p>
      <w:pPr>
        <w:pStyle w:val="Normal"/>
        <w:ind w:start="4320" w:end="0"/>
        <w:rPr/>
      </w:pPr>
      <w:r>
        <w:rPr/>
        <w:t>101 Ash Street</w:t>
      </w:r>
    </w:p>
    <w:p>
      <w:pPr>
        <w:pStyle w:val="Normal"/>
        <w:ind w:start="4320" w:end="0"/>
        <w:rPr/>
      </w:pPr>
      <w:r>
        <w:rPr/>
        <w:t>San Diego, California   92101</w:t>
      </w:r>
    </w:p>
    <w:p>
      <w:pPr>
        <w:pStyle w:val="Normal"/>
        <w:ind w:start="4320" w:end="0"/>
        <w:rPr/>
      </w:pPr>
      <w:r>
        <w:rPr/>
        <w:t>Phone:  (619) 699-5078</w:t>
      </w:r>
    </w:p>
    <w:p>
      <w:pPr>
        <w:pStyle w:val="Normal"/>
        <w:ind w:start="4320" w:end="0"/>
        <w:rPr/>
      </w:pPr>
      <w:r>
        <w:rPr/>
        <w:t>Fax:      (619) 699-5027</w:t>
      </w:r>
    </w:p>
    <w:p>
      <w:pPr>
        <w:pStyle w:val="Normal"/>
        <w:ind w:start="4320" w:end="0"/>
        <w:rPr/>
      </w:pPr>
      <w:r>
        <w:rPr/>
        <w:t>E-mail: pszymanski@sempra.com</w:t>
      </w:r>
    </w:p>
    <w:p>
      <w:pPr>
        <w:pStyle w:val="Normal"/>
        <w:rPr/>
      </w:pPr>
      <w:r>
        <w:rPr/>
      </w:r>
    </w:p>
    <w:p>
      <w:pPr>
        <w:sectPr>
          <w:headerReference w:type="default" r:id="rId2"/>
          <w:headerReference w:type="first" r:id="rId3"/>
          <w:footerReference w:type="default" r:id="rId4"/>
          <w:footerReference w:type="first" r:id="rId5"/>
          <w:type w:val="nextPage"/>
          <w:pgSz w:w="12240" w:h="15840"/>
          <w:pgMar w:left="1872" w:right="1008" w:gutter="0" w:header="720" w:top="1008" w:footer="432" w:bottom="1008"/>
          <w:pgNumType w:start="2" w:fmt="decimal"/>
          <w:formProt w:val="false"/>
          <w:titlePg/>
          <w:textDirection w:val="lrTb"/>
          <w:docGrid w:type="default" w:linePitch="360" w:charSpace="0"/>
        </w:sectPr>
        <w:pStyle w:val="Heading"/>
        <w:jc w:val="start"/>
        <w:rPr>
          <w:b w:val="false"/>
        </w:rPr>
      </w:pPr>
      <w:r>
        <w:rPr>
          <w:b w:val="false"/>
        </w:rPr>
        <w:t>December 26, 2001</w:t>
      </w:r>
    </w:p>
    <w:p>
      <w:pPr>
        <w:pStyle w:val="Heading"/>
        <w:rPr/>
      </w:pPr>
      <w:r>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t>Application of PG&amp;E for Verification, etc.</w:t>
            </w:r>
          </w:p>
        </w:tc>
        <w:tc>
          <w:tcPr>
            <w:tcW w:w="3600" w:type="dxa"/>
            <w:tcBorders/>
          </w:tcPr>
          <w:p>
            <w:pPr>
              <w:pStyle w:val="standard"/>
              <w:spacing w:lineRule="exact" w:line="240" w:before="120" w:after="120"/>
              <w:ind w:hanging="0" w:end="0"/>
              <w:rPr>
                <w:rFonts w:ascii="Times New Roman" w:hAnsi="Times New Roman" w:cs="Times New Roman"/>
                <w:sz w:val="24"/>
              </w:rPr>
            </w:pPr>
            <w:r>
              <w:rPr>
                <w:rFonts w:cs="Times New Roman" w:ascii="Times New Roman" w:hAnsi="Times New Roman"/>
                <w:sz w:val="24"/>
              </w:rPr>
              <w:t>A.98-07-003</w:t>
            </w:r>
          </w:p>
          <w:p>
            <w:pPr>
              <w:pStyle w:val="standard"/>
              <w:spacing w:lineRule="exact" w:line="240" w:before="0" w:after="120"/>
              <w:ind w:hanging="0" w:end="0"/>
              <w:rPr>
                <w:rFonts w:ascii="Times New Roman" w:hAnsi="Times New Roman" w:cs="Times New Roman"/>
                <w:sz w:val="24"/>
              </w:rPr>
            </w:pPr>
            <w:r>
              <w:rPr>
                <w:rFonts w:cs="Times New Roman" w:ascii="Times New Roman" w:hAnsi="Times New Roman"/>
                <w:sz w:val="24"/>
              </w:rPr>
              <w:t>(Implementation of Suspension of Direct Access)</w:t>
            </w:r>
          </w:p>
        </w:tc>
      </w:tr>
    </w:tbl>
    <w:p>
      <w:pPr>
        <w:pStyle w:val="Heading"/>
        <w:rPr/>
      </w:pPr>
      <w:r>
        <w:rPr/>
      </w:r>
    </w:p>
    <w:p>
      <w:pPr>
        <w:pStyle w:val="Heading"/>
        <w:rPr/>
      </w:pPr>
      <w:r>
        <w:rPr/>
        <w:t>RESPONSE OF SAN DIEGO GAS &amp; ELECTRIC COMPANY TO</w:t>
        <w:br/>
        <w:t>MOTION OF THE CALIFORNIA MANUFACTURERS &amp; TECHNOLOGY ASSOCIATION, AND CALIFORNIA LARGE ENERGY CONSUMERS</w:t>
        <w:br/>
        <w:t>ASSOCIATION, FOR LEAVE TO FILE A SUPPLEMENTAL PROPOSAL</w:t>
      </w:r>
    </w:p>
    <w:p>
      <w:pPr>
        <w:pStyle w:val="Heading"/>
        <w:rPr/>
      </w:pPr>
      <w:r>
        <w:rPr/>
      </w:r>
    </w:p>
    <w:p>
      <w:pPr>
        <w:pStyle w:val="NormalWeb"/>
        <w:spacing w:lineRule="auto" w:line="480"/>
        <w:rPr/>
      </w:pPr>
      <w:r>
        <w:rPr/>
        <w:tab/>
        <w:t xml:space="preserve">In accordance with Rule 45(f) of the Commission’s Rules of Practice and Procedure, San Diego Gas &amp; Electric Company (SDG&amp;E) responds to the December 10, 2001 “Motion of the California Manufacturers &amp; Technology Association, and California Large Energy Consumers Association (CMTA/CLECA) For Leave to File a Supplemental Proposal” (Motion).  </w:t>
      </w:r>
      <w:r>
        <w:rPr>
          <w:highlight w:val="yellow"/>
        </w:rPr>
        <w:t>As explained below, SDG&amp;E agrees with CMTA/CLECA that granting the Motion would be in the best interests of California’s energy consumers and would not compromise or interfere with the Commission’s directive to suspend the direct access program</w:t>
      </w:r>
      <w:r>
        <w:rPr/>
        <w:t>.  The Commission should and must step forward quickly to protect California citizens and businesses that executed contracts in reliance on the Commission’s direct access regime.  The Commission managed an extensive campaign to inform customers of the availability of the direct access option at its outset, and deferred suspension in mid</w:t>
        <w:noBreakHyphen/>
        <w:t xml:space="preserve">2001 at the express request of the Department of Water Resources.  </w:t>
      </w:r>
    </w:p>
    <w:p>
      <w:pPr>
        <w:pStyle w:val="NormalWeb"/>
        <w:spacing w:lineRule="auto" w:line="480"/>
        <w:rPr/>
      </w:pPr>
      <w:r>
        <w:rPr/>
        <w:tab/>
      </w:r>
      <w:r>
        <w:rPr>
          <w:highlight w:val="yellow"/>
        </w:rPr>
        <w:t>These customers would be harmed if the Commission were to forbid contract assignments, thus effectively modifying existing contracts</w:t>
      </w:r>
      <w:r>
        <w:rPr/>
        <w:t xml:space="preserve">.  </w:t>
      </w:r>
      <w:r>
        <w:rPr>
          <w:highlight w:val="yellow"/>
        </w:rPr>
        <w:t>These concerns have been brought to the fore by Enron’s December 2, 2001 petition for bankruptcy, the Commission’s recently opened investigation into the Enron bankruptcy (I.01-12-008), and the comments filed on December 18, 2001 in response to I.01</w:t>
        <w:noBreakHyphen/>
        <w:t>12</w:t>
        <w:noBreakHyphen/>
        <w:t>008 by customers that will be harmed if they cannot assign their ESP contracts</w:t>
      </w:r>
      <w:r>
        <w:rPr/>
        <w:t xml:space="preserve">.  These recent developments have moved SDG&amp;E to urge the Commission to adopt a policy that is sensitive and responsive to the plight of customers seeking alternate Energy Service Providers (ESPs) in accordance with existing contracts.  </w:t>
      </w:r>
    </w:p>
    <w:p>
      <w:pPr>
        <w:pStyle w:val="NormalWeb"/>
        <w:spacing w:lineRule="auto" w:line="480"/>
        <w:rPr/>
      </w:pPr>
      <w:r>
        <w:rPr/>
        <w:tab/>
      </w:r>
      <w:r>
        <w:rPr>
          <w:highlight w:val="yellow"/>
        </w:rPr>
        <w:t>Moreover, SDG&amp;E agrees with CMTA/CLECA that customers with executed contracts as of September 20, 2001, and whose account information appears on SDG&amp;E’s direct access “DASR” lists of November 1, 2001, should be grandfathered indefinitely</w:t>
      </w:r>
      <w:r>
        <w:rPr/>
        <w:t xml:space="preserve">.  Therefore, </w:t>
      </w:r>
      <w:r>
        <w:rPr>
          <w:highlight w:val="yellow"/>
        </w:rPr>
        <w:t>even after the expiration of existing contracts, a direct access customer as of September 20, 2001, should be permitted either to renew its contract with its existing ESP or to enter into a contract with a different ESP, as long as the direct access load is not increased</w:t>
      </w:r>
      <w:r>
        <w:rPr/>
        <w:t>.  This approach will stabilize the load associated with direct access, but will not increase that load to the detriment of customers that have not elected direct access.  SDG&amp;E’s viewpoint on this question has evolved from that set forth in the joint utility comments (Joint Proposal) submitted in this proceeding on November 16, 2001,</w:t>
      </w:r>
      <w:r>
        <w:rPr>
          <w:rStyle w:val="FootnoteCharacters"/>
          <w:rStyle w:val="FootnoteReference"/>
          <w:sz w:val="20"/>
          <w:u w:val="single"/>
        </w:rPr>
        <w:footnoteReference w:id="2"/>
      </w:r>
      <w:r>
        <w:rPr>
          <w:sz w:val="20"/>
          <w:vertAlign w:val="superscript"/>
        </w:rPr>
        <w:t>/</w:t>
      </w:r>
      <w:r>
        <w:rPr/>
        <w:t xml:space="preserve"> and therefore </w:t>
      </w:r>
      <w:r>
        <w:rPr>
          <w:highlight w:val="yellow"/>
        </w:rPr>
        <w:t>its position as set forth herein supersedes its earlier position in this proceeding.</w:t>
      </w:r>
      <w:r>
        <w:rPr/>
        <w:t xml:space="preserve">  </w:t>
      </w:r>
    </w:p>
    <w:p>
      <w:pPr>
        <w:pStyle w:val="NormalWeb"/>
        <w:ind w:hanging="720" w:start="720" w:end="0"/>
        <w:rPr>
          <w:b/>
        </w:rPr>
      </w:pPr>
      <w:r>
        <w:rPr>
          <w:b/>
        </w:rPr>
        <w:t>I.</w:t>
        <w:tab/>
        <w:t xml:space="preserve">CMTA/CLECA’S PROPOSAL WOULD PROVIDE A REAL-WORLD, PRACTICAL SOLUTION TO THE SUBSTANTIAL HARDSHIP THAT </w:t>
        <w:br/>
        <w:t>DIRECT ACCESS CUSTOMERS OTHERWISE WOULD SUFFER</w:t>
      </w:r>
    </w:p>
    <w:p>
      <w:pPr>
        <w:pStyle w:val="NormalWeb"/>
        <w:keepNext w:val="true"/>
        <w:spacing w:lineRule="auto" w:line="480"/>
        <w:ind w:firstLine="720" w:end="0"/>
        <w:rPr/>
      </w:pPr>
      <w:r>
        <w:rPr/>
        <w:t>At the December 12, 2001 Prehearing Conference in this proceeding, ALJ Barnett was unambiguous and emphatic in informing parties that the Commission was interested in real-world, practical solutions to drive the implementation of the suspension of direct access.</w:t>
      </w:r>
      <w:r>
        <w:rPr>
          <w:rStyle w:val="FootnoteCharacters"/>
          <w:rStyle w:val="FootnoteReference"/>
          <w:sz w:val="20"/>
          <w:u w:val="single"/>
        </w:rPr>
        <w:footnoteReference w:id="3"/>
      </w:r>
      <w:r>
        <w:rPr>
          <w:sz w:val="20"/>
          <w:vertAlign w:val="superscript"/>
        </w:rPr>
        <w:t>/</w:t>
      </w:r>
      <w:r>
        <w:rPr/>
        <w:t xml:space="preserve">  In their Motion, CMTA/CLECA maintain that the Commission, in adopting rules to implement the suspension of direct access ordered by D.01-09-060, should permit direct access customers to freely assign their existing contracts from one ESP to another.  The circumstances arising out of the Enron financial crisis have graphically illustrated a real-life, difficult challenge for customers that is not dealt with adequately by the Joint Proposal.  SDG&amp;E urges the Commission to preserve existing contractual and business expectations and to approve the CMTA/CLECA assignment proposal.</w:t>
      </w:r>
    </w:p>
    <w:p>
      <w:pPr>
        <w:pStyle w:val="NormalWeb"/>
        <w:spacing w:lineRule="auto" w:line="480"/>
        <w:ind w:firstLine="720" w:end="0"/>
        <w:rPr/>
      </w:pPr>
      <w:r>
        <w:rPr/>
        <w:t xml:space="preserve">SDG&amp;E understands that thousands of customers who had entered into direct access service contracts, and developed budgets and operating procedures in reliance on those contracts, now face the potential that their legitimate expectations will be frustrated.  Were it not for the Enron bankruptcy, those customers had every expectation that direct access contracts they entered into in good faith would continue for their duration.  While the Enron bankruptcy threatens those contracts, Enron might be able to find one or more successors who can continue to meet the </w:t>
      </w:r>
      <w:r>
        <w:rPr>
          <w:b/>
        </w:rPr>
        <w:t>existing</w:t>
      </w:r>
      <w:r>
        <w:rPr/>
        <w:t xml:space="preserve"> commercial expectations of those customers.  The Enron bankruptcy has demonstrated that the assignment of existing contracts, such as those of Enron’s customers, is not contrary to suspending direct access for “new arrangements” in accordance with the intention of AB X1 to halt incremental direct access load.  </w:t>
      </w:r>
      <w:r>
        <w:rPr>
          <w:highlight w:val="yellow"/>
        </w:rPr>
        <w:t>So long as contracts were in effect on September 20, 2001, they are not new arrangements, and direct access suspension therefore should not apply to them.</w:t>
      </w:r>
      <w:r>
        <w:rPr/>
        <w:t xml:space="preserve"> </w:t>
      </w:r>
    </w:p>
    <w:p>
      <w:pPr>
        <w:pStyle w:val="NormalWeb"/>
        <w:spacing w:lineRule="auto" w:line="480"/>
        <w:rPr/>
      </w:pPr>
      <w:r>
        <w:rPr>
          <w:b/>
        </w:rPr>
        <w:tab/>
      </w:r>
      <w:r>
        <w:rPr/>
        <w:t>SDG&amp;E requests that the Commission take official notice of the comments filed in I.01-12-008 opened by the Commission on December 11, 2001 to address the effects of Enron’s financial difficulties on retail customers.  The Commission should heed the comments of the customers whose legitimate business expectations would be harmed by a prohibition on contract assignments.  For example, the Commission should consider the comments of a direct access customer, Sutter Health, which is a “non-profit public benefit corporation that is engaged in the operation and management of 30 acute care hospitals and numerous other health facilities throughout northern California.”</w:t>
      </w:r>
      <w:r>
        <w:rPr>
          <w:rStyle w:val="FootnoteCharacters"/>
          <w:rStyle w:val="FootnoteReference"/>
          <w:sz w:val="20"/>
          <w:u w:val="single"/>
        </w:rPr>
        <w:footnoteReference w:id="4"/>
      </w:r>
      <w:r>
        <w:rPr>
          <w:sz w:val="20"/>
          <w:vertAlign w:val="superscript"/>
        </w:rPr>
        <w:t>/</w:t>
      </w:r>
      <w:r>
        <w:rPr/>
        <w:t xml:space="preserve">  Sutter Health stated:</w:t>
      </w:r>
    </w:p>
    <w:p>
      <w:pPr>
        <w:pStyle w:val="NormalWeb"/>
        <w:ind w:start="1440" w:end="1440"/>
        <w:rPr/>
      </w:pPr>
      <w:r>
        <w:rPr/>
        <w:t>Sutter Health has done nothing wrong to contribute to Enron Energy Services, Inc.’s financial predicament.  In fact, Sutter Health is an unwitting victim of Enron Energy Services, Inc.’s bankruptcy.  Nonetheless, in light of the recent bankruptcy of the Enron entities, Sutter Health must now consider options for continued electric service consistent with the terms of its Agreement.  To that end, Sutter Health and Enron Energy Services, Inc. have been discussing the possibility of Enron Energy Services, Inc. assigning the Agreement to another ESP.  Sutter Health and Enron Energy Services, Inc. contemplate that such an assignment may be accomplished in an orderly and seamless manner, consistent with ABX1, pursuant to the terms of the existing Agreement.  Sutter Health Comments, at 3.</w:t>
      </w:r>
    </w:p>
    <w:p>
      <w:pPr>
        <w:pStyle w:val="NormalWeb"/>
        <w:spacing w:lineRule="auto" w:line="480"/>
        <w:rPr/>
      </w:pPr>
      <w:r>
        <w:rPr/>
        <w:t>Several other customers, some of whom are public agencies, have provided similarly compelling statements describing the urgent need for the Commission to permit their existing direct access contracts to be assigned to another ESP.</w:t>
      </w:r>
      <w:r>
        <w:rPr>
          <w:rStyle w:val="FootnoteCharacters"/>
          <w:rStyle w:val="FootnoteReference"/>
          <w:sz w:val="20"/>
          <w:u w:val="single"/>
        </w:rPr>
        <w:footnoteReference w:id="5"/>
      </w:r>
      <w:r>
        <w:rPr>
          <w:sz w:val="20"/>
          <w:vertAlign w:val="superscript"/>
        </w:rPr>
        <w:t>/</w:t>
      </w:r>
      <w:r>
        <w:rPr/>
        <w:t xml:space="preserve">  In fact, the record in I.01</w:t>
        <w:noBreakHyphen/>
        <w:t>12</w:t>
        <w:noBreakHyphen/>
        <w:t>008 is replete with statements from ESPs and their customers, such as the University of California/California State University school systems, who have implored the Commission to permit the assignment of their energy contracts.  The concerns of California’s businesses are especially acute in this current economic downturn that has already cost many Californians their jobs.</w:t>
      </w:r>
    </w:p>
    <w:p>
      <w:pPr>
        <w:pStyle w:val="NormalWeb"/>
        <w:spacing w:lineRule="auto" w:line="480"/>
        <w:rPr/>
      </w:pPr>
      <w:r>
        <w:rPr/>
        <w:tab/>
        <w:t xml:space="preserve">It is well within the Commission’s authority, and consistent with its mandate, to protect customers from the economic harm that would be visited on them by a prohibition on assignments, especially in light of the Enron bankruptcy.  To do so, the Commission need only abstain from modifying the bargained-for contract terms that would permit ESPs and their customers to assign their contracts.  </w:t>
      </w:r>
      <w:r>
        <w:rPr>
          <w:highlight w:val="yellow"/>
        </w:rPr>
        <w:t>AB X1 and D.01</w:t>
        <w:noBreakHyphen/>
        <w:t>09</w:t>
        <w:noBreakHyphen/>
        <w:t xml:space="preserve">060 are aimed at preventing </w:t>
      </w:r>
      <w:r>
        <w:rPr>
          <w:b/>
          <w:highlight w:val="yellow"/>
        </w:rPr>
        <w:t>additional</w:t>
      </w:r>
      <w:r>
        <w:rPr>
          <w:highlight w:val="yellow"/>
        </w:rPr>
        <w:t xml:space="preserve"> direct access load in recognition that existing contracts should be honored</w:t>
      </w:r>
      <w:r>
        <w:rPr/>
        <w:t xml:space="preserve">.  </w:t>
      </w:r>
    </w:p>
    <w:p>
      <w:pPr>
        <w:pStyle w:val="NormalWeb"/>
        <w:spacing w:lineRule="auto" w:line="480"/>
        <w:rPr/>
      </w:pPr>
      <w:r>
        <w:rPr/>
        <w:tab/>
        <w:t xml:space="preserve">SDG&amp;E’s overriding concern is with energy customers, many of which now face hardships, whose energy choices would be frustrated if the Commission does not permit ESP contract assignment.  These energy choices were authorized pursuant to the Commission’s own direct access program and therefore should be preserved.  </w:t>
      </w:r>
      <w:r>
        <w:rPr>
          <w:highlight w:val="yellow"/>
        </w:rPr>
        <w:t>In the face of the hardship that those customers are now experiencing, especially due to the Enron bankruptcy, SDG&amp;E urges the Commission to permit customers with contracts in effect on September 20, 2001 to retain their contractual expectations without modification.</w:t>
      </w:r>
      <w:r>
        <w:rPr/>
        <w:t xml:space="preserve">  This is the very sort of practical, real</w:t>
        <w:noBreakHyphen/>
        <w:t>world solution that ALJ Barnett was asking parties to find on December 12, 2001.</w:t>
      </w:r>
    </w:p>
    <w:p>
      <w:pPr>
        <w:pStyle w:val="NormalWeb"/>
        <w:tabs>
          <w:tab w:val="left" w:pos="720" w:leader="none"/>
        </w:tabs>
        <w:ind w:hanging="720" w:start="720" w:end="0"/>
        <w:rPr>
          <w:b/>
        </w:rPr>
      </w:pPr>
      <w:r>
        <w:rPr>
          <w:b/>
        </w:rPr>
        <w:t>II.</w:t>
        <w:tab/>
        <w:t>THE CMTA/CLECA PROPOSAL TO “GRANDFATHER” DIRECT ACCESS CUSTOMERS INDEFINITELY WOULD REDUCE CONFUSION, WOULD MINIMIZE ADMINISTRATIVE BURDENS, AND WOULD NOT INCREASE DIRECT ACCESS LOAD</w:t>
      </w:r>
    </w:p>
    <w:p>
      <w:pPr>
        <w:pStyle w:val="NormalWeb"/>
        <w:spacing w:lineRule="auto" w:line="480"/>
        <w:rPr/>
      </w:pPr>
      <w:r>
        <w:rPr/>
        <w:tab/>
        <w:t xml:space="preserve">The Motion would also permit direct access customers as of September 20, 2001, to renew their contracts with their existing ESP, or execute a contract with an alternative ESP, when existing contracts expire.  This would effectively permit direct access customers as of September 20, 2001, to be “grandfathered” indefinitely as direct access customers.  </w:t>
      </w:r>
    </w:p>
    <w:p>
      <w:pPr>
        <w:pStyle w:val="NormalWeb"/>
        <w:spacing w:lineRule="auto" w:line="480"/>
        <w:rPr/>
      </w:pPr>
      <w:r>
        <w:rPr/>
        <w:tab/>
        <w:t>SDG&amp;E sees several benefits from such an approach.  It is a relatively simple solution to the issue of how best to suspend direct access, thus providing a needed measure of certainty to customers that have already elected direct access.  There is an existing list of customers that had executed direct access contracts as of September 20, 2001, and the CMTA/CLECA proposal would adopt the relatively straightforward approach of simply using this list as the reference point for determining which customers are permitted to purchase electricity from an ESP.</w:t>
      </w:r>
      <w:r>
        <w:rPr>
          <w:rStyle w:val="FootnoteCharacters"/>
          <w:rStyle w:val="FootnoteReference"/>
          <w:sz w:val="20"/>
          <w:u w:val="single"/>
        </w:rPr>
        <w:footnoteReference w:id="6"/>
      </w:r>
      <w:r>
        <w:rPr>
          <w:sz w:val="20"/>
          <w:vertAlign w:val="superscript"/>
        </w:rPr>
        <w:t>/</w:t>
      </w:r>
      <w:r>
        <w:rPr/>
        <w:t xml:space="preserve">  While there nevertheless are some implementation issues involved with the CMTA/CLECA proposal that must be addressed,</w:t>
      </w:r>
      <w:r>
        <w:rPr>
          <w:rStyle w:val="FootnoteCharacters"/>
          <w:rStyle w:val="FootnoteReference"/>
          <w:sz w:val="20"/>
          <w:u w:val="single"/>
        </w:rPr>
        <w:footnoteReference w:id="7"/>
      </w:r>
      <w:r>
        <w:rPr>
          <w:sz w:val="20"/>
          <w:vertAlign w:val="superscript"/>
        </w:rPr>
        <w:t>/</w:t>
      </w:r>
      <w:r>
        <w:rPr/>
        <w:t xml:space="preserve"> SDG&amp;E submits that the simplicity of the CMTA/CLECA proposal would provide a fair measure of certainty for long</w:t>
        <w:noBreakHyphen/>
        <w:t xml:space="preserve">term planning purposes and would also represent the sort of practical solution sought by ALJ Barnett.  </w:t>
      </w:r>
    </w:p>
    <w:p>
      <w:pPr>
        <w:pStyle w:val="NormalWeb"/>
        <w:spacing w:lineRule="auto" w:line="480"/>
        <w:rPr/>
      </w:pPr>
      <w:r>
        <w:rPr/>
        <w:tab/>
        <w:t xml:space="preserve">The CMTA/CLECA proposal also should impose a lesser administrative burden on the electric utilities.  Once a customer is verified as having a direct access contract as of September 20, 2001, the utility can use existing account and meter information to preserve the customer’s direct access status, without the need to ensure that the customer is automatically switched back to full bundled utility service at the expiration of existing contracts.  Accordingly, the administrative burden on the utilities should be minimized.  </w:t>
      </w:r>
    </w:p>
    <w:p>
      <w:pPr>
        <w:pStyle w:val="NormalWeb"/>
        <w:spacing w:lineRule="auto" w:line="480"/>
        <w:rPr/>
      </w:pPr>
      <w:r>
        <w:rPr/>
        <w:tab/>
      </w:r>
      <w:r>
        <w:rPr>
          <w:highlight w:val="yellow"/>
        </w:rPr>
        <w:t>Moreover, the CMTA/CLECA proposal would not increase direct access load.  While direct access customers clearly should not be able to increase their direct access load, grandfathering their direct access status indefinitely by itself should do no more than maintain direct access loads at existing levels</w:t>
      </w:r>
      <w:r>
        <w:rPr/>
        <w:t xml:space="preserve">.  Such an approach is consistent with the legitimate public policy objective of preventing additional load from electing direct access.  </w:t>
      </w:r>
    </w:p>
    <w:p>
      <w:pPr>
        <w:pStyle w:val="NormalWeb"/>
        <w:tabs>
          <w:tab w:val="left" w:pos="720" w:leader="none"/>
        </w:tabs>
        <w:spacing w:lineRule="auto" w:line="480"/>
        <w:ind w:hanging="720" w:start="720" w:end="0"/>
        <w:rPr>
          <w:b/>
        </w:rPr>
      </w:pPr>
      <w:r>
        <w:rPr>
          <w:b/>
        </w:rPr>
        <w:t>III.</w:t>
        <w:tab/>
        <w:t>CONCLUSION</w:t>
      </w:r>
    </w:p>
    <w:p>
      <w:pPr>
        <w:pStyle w:val="NormalWeb"/>
        <w:spacing w:lineRule="auto" w:line="480"/>
        <w:rPr/>
      </w:pPr>
      <w:r>
        <w:rPr/>
        <w:tab/>
        <w:t xml:space="preserve">CMTA/CLECA correctly point out the need for the Commission to protect the interests of the hundreds, or even thousands, of customers with direct access contracts whose contracts must be assigned to preserve the expectations of those customers when they elected direct access. Accordingly, the Commission should not impede assignments of direct access contracts, but rather should recognize assignments as a real-world, workable solution to help protect customers in a manner that is consistent with the legislative mandate of AB X1.  </w:t>
      </w:r>
    </w:p>
    <w:p>
      <w:pPr>
        <w:pStyle w:val="NormalWeb"/>
        <w:spacing w:lineRule="auto" w:line="480"/>
        <w:rPr/>
      </w:pPr>
      <w:r>
        <w:rPr/>
        <w:tab/>
        <w:t xml:space="preserve">The Commission should adopt the proposal of CMTA/CLECA to grandfather indefinitely those direct access customers who had executed direct access contracts as of September 20, 2001.  This would reduce much of the confusion that currently exists on this issue, would minimize the utilities’ administrative burden, and would not increase direct access load.  </w:t>
      </w:r>
    </w:p>
    <w:p>
      <w:pPr>
        <w:pStyle w:val="NormalWeb"/>
        <w:rPr/>
      </w:pPr>
      <w:r>
        <w:rPr/>
      </w:r>
    </w:p>
    <w:p>
      <w:pPr>
        <w:pStyle w:val="BodyTextIndent"/>
        <w:rPr/>
      </w:pPr>
      <w:r>
        <w:rPr/>
        <w:tab/>
        <w:tab/>
        <w:tab/>
        <w:tab/>
        <w:t xml:space="preserve">Respectfully submitted, </w:t>
      </w:r>
    </w:p>
    <w:p>
      <w:pPr>
        <w:pStyle w:val="BodyTextIndent"/>
        <w:rPr/>
      </w:pPr>
      <w:r>
        <w:rPr/>
      </w:r>
    </w:p>
    <w:p>
      <w:pPr>
        <w:pStyle w:val="Normal"/>
        <w:ind w:firstLine="720" w:start="3600" w:end="0"/>
        <w:rPr/>
      </w:pPr>
      <w:r>
        <w:rPr/>
        <w:t>By:__________________________________</w:t>
      </w:r>
    </w:p>
    <w:p>
      <w:pPr>
        <w:pStyle w:val="Normal"/>
        <w:ind w:firstLine="720" w:start="3600" w:end="0"/>
        <w:rPr/>
      </w:pPr>
      <w:r>
        <w:rPr/>
        <w:tab/>
        <w:tab/>
        <w:t>Paul A. Szymanski</w:t>
      </w:r>
    </w:p>
    <w:p>
      <w:pPr>
        <w:pStyle w:val="Normal"/>
        <w:ind w:firstLine="720" w:start="3600" w:end="0"/>
        <w:rPr/>
      </w:pPr>
      <w:r>
        <w:rPr/>
      </w:r>
    </w:p>
    <w:p>
      <w:pPr>
        <w:pStyle w:val="Normal"/>
        <w:ind w:firstLine="720" w:start="3600" w:end="0"/>
        <w:rPr/>
      </w:pPr>
      <w:r>
        <w:rPr/>
        <w:t>David B. Follett</w:t>
      </w:r>
    </w:p>
    <w:p>
      <w:pPr>
        <w:pStyle w:val="Normal"/>
        <w:ind w:firstLine="720" w:start="3600" w:end="0"/>
        <w:rPr/>
      </w:pPr>
      <w:r>
        <w:rPr/>
        <w:t>David J. Gilmore</w:t>
      </w:r>
    </w:p>
    <w:p>
      <w:pPr>
        <w:pStyle w:val="Normal"/>
        <w:ind w:firstLine="720" w:start="3600" w:end="0"/>
        <w:rPr/>
      </w:pPr>
      <w:r>
        <w:rPr/>
        <w:t>Paul A. Szymanski</w:t>
      </w:r>
    </w:p>
    <w:p>
      <w:pPr>
        <w:pStyle w:val="Normal"/>
        <w:rPr/>
      </w:pPr>
      <w:r>
        <w:rPr/>
        <w:tab/>
        <w:tab/>
        <w:tab/>
        <w:tab/>
        <w:tab/>
        <w:tab/>
        <w:t>Attorneys for:</w:t>
      </w:r>
    </w:p>
    <w:p>
      <w:pPr>
        <w:pStyle w:val="Normal"/>
        <w:rPr/>
      </w:pPr>
      <w:r>
        <w:rPr/>
        <w:tab/>
        <w:tab/>
        <w:tab/>
        <w:tab/>
        <w:tab/>
        <w:tab/>
        <w:t>SAN DIEGO GAS &amp; ELECTRIC COMPANY</w:t>
      </w:r>
    </w:p>
    <w:p>
      <w:pPr>
        <w:pStyle w:val="Normal"/>
        <w:rPr/>
      </w:pPr>
      <w:r>
        <w:rPr/>
        <w:tab/>
        <w:tab/>
        <w:tab/>
        <w:tab/>
        <w:tab/>
        <w:tab/>
        <w:t>101 Ash Street</w:t>
      </w:r>
    </w:p>
    <w:p>
      <w:pPr>
        <w:pStyle w:val="Normal"/>
        <w:rPr/>
      </w:pPr>
      <w:r>
        <w:rPr/>
        <w:tab/>
        <w:tab/>
        <w:tab/>
        <w:tab/>
        <w:tab/>
        <w:tab/>
        <w:t>San Diego, California   92101</w:t>
      </w:r>
    </w:p>
    <w:p>
      <w:pPr>
        <w:pStyle w:val="Normal"/>
        <w:rPr/>
      </w:pPr>
      <w:r>
        <w:rPr/>
        <w:tab/>
        <w:tab/>
        <w:tab/>
        <w:tab/>
        <w:tab/>
        <w:tab/>
        <w:t>Phone:  (619) 699-5078</w:t>
      </w:r>
    </w:p>
    <w:p>
      <w:pPr>
        <w:pStyle w:val="Normal"/>
        <w:rPr/>
      </w:pPr>
      <w:r>
        <w:rPr/>
        <w:tab/>
        <w:tab/>
        <w:tab/>
        <w:tab/>
        <w:tab/>
        <w:tab/>
        <w:t>Fax:      (619) 699-5027</w:t>
      </w:r>
    </w:p>
    <w:p>
      <w:pPr>
        <w:pStyle w:val="Normal"/>
        <w:rPr/>
      </w:pPr>
      <w:r>
        <w:rPr/>
        <w:tab/>
        <w:tab/>
        <w:tab/>
        <w:tab/>
        <w:tab/>
        <w:tab/>
        <w:t>E-mail: pszymanski@sempra.com</w:t>
      </w:r>
    </w:p>
    <w:p>
      <w:pPr>
        <w:pStyle w:val="Normal"/>
        <w:rPr/>
      </w:pPr>
      <w:r>
        <w:rPr/>
      </w:r>
    </w:p>
    <w:p>
      <w:pPr>
        <w:sectPr>
          <w:headerReference w:type="default" r:id="rId6"/>
          <w:headerReference w:type="first" r:id="rId7"/>
          <w:footerReference w:type="default" r:id="rId8"/>
          <w:footerReference w:type="first" r:id="rId9"/>
          <w:footnotePr>
            <w:numFmt w:val="decimal"/>
          </w:footnotePr>
          <w:type w:val="nextPage"/>
          <w:pgSz w:w="12240" w:h="15840"/>
          <w:pgMar w:left="1872" w:right="1008" w:gutter="0" w:header="720" w:top="1008" w:footer="720" w:bottom="1008"/>
          <w:pgNumType w:start="1" w:fmt="decimal"/>
          <w:formProt w:val="false"/>
          <w:titlePg/>
          <w:textDirection w:val="lrTb"/>
          <w:docGrid w:type="default" w:linePitch="360" w:charSpace="0"/>
        </w:sectPr>
        <w:pStyle w:val="BodyText"/>
        <w:rPr>
          <w:b w:val="false"/>
        </w:rPr>
      </w:pPr>
      <w:r>
        <w:rPr>
          <w:b w:val="false"/>
        </w:rPr>
        <w:t>December 26, 2001</w:t>
      </w:r>
    </w:p>
    <w:p>
      <w:pPr>
        <w:pStyle w:val="Normal"/>
        <w:spacing w:lineRule="exact" w:line="480"/>
        <w:jc w:val="center"/>
        <w:rPr>
          <w:b/>
          <w:u w:val="single"/>
        </w:rPr>
      </w:pPr>
      <w:r>
        <w:rPr>
          <w:b/>
          <w:u w:val="single"/>
        </w:rPr>
        <w:t>CERTIFICATE OF SERVICE</w:t>
      </w:r>
    </w:p>
    <w:p>
      <w:pPr>
        <w:pStyle w:val="Normal"/>
        <w:spacing w:lineRule="exact" w:line="480"/>
        <w:jc w:val="center"/>
        <w:rPr/>
      </w:pPr>
      <w:r>
        <w:rPr/>
      </w:r>
    </w:p>
    <w:p>
      <w:pPr>
        <w:pStyle w:val="Normal"/>
        <w:spacing w:lineRule="exact" w:line="480"/>
        <w:rPr/>
      </w:pPr>
      <w:r>
        <w:rPr/>
        <w:tab/>
        <w:tab/>
        <w:t xml:space="preserve">I hereby certify that I have this day served a copy of the foregoing </w:t>
      </w:r>
      <w:r>
        <w:rPr>
          <w:b/>
        </w:rPr>
        <w:t>RESPONSE OF SAN DIEGO GAS &amp; ELECTRIC COMPANY TO MOTION OF THE CALIFORNIA MANUFACTURERS &amp; TECHNOLOGY ASSOCIATION, AND CALIFORNIA LARGE ENERGY CONSUMERS ASSOCIATION, FOR LEAVE TO FILE A SUPPLEMENTAL PROPOSAL</w:t>
      </w:r>
      <w:r>
        <w:rPr/>
        <w:t xml:space="preserve"> on all known interested parties of record in A.98</w:t>
        <w:noBreakHyphen/>
        <w:t>07</w:t>
        <w:noBreakHyphen/>
        <w:t>003, A.98</w:t>
        <w:noBreakHyphen/>
        <w:t>07</w:t>
        <w:noBreakHyphen/>
        <w:t>006, and A.98</w:t>
        <w:noBreakHyphen/>
        <w:t>07</w:t>
        <w:noBreakHyphen/>
        <w:t>026, by mailing by first</w:t>
        <w:noBreakHyphen/>
        <w:t xml:space="preserve">class, U.S. mail a copy thereof properly addressed to all other parties included on the list appended to the original document filed with the Commission.  </w:t>
      </w:r>
    </w:p>
    <w:p>
      <w:pPr>
        <w:pStyle w:val="Normal"/>
        <w:spacing w:lineRule="exact" w:line="480"/>
        <w:rPr/>
      </w:pPr>
      <w:r>
        <w:rPr/>
        <w:tab/>
        <w:tab/>
        <w:t>Dated at Los Angeles, California, this 26</w:t>
      </w:r>
      <w:r>
        <w:rPr>
          <w:vertAlign w:val="superscript"/>
        </w:rPr>
        <w:t>th</w:t>
      </w:r>
      <w:r>
        <w:rPr/>
        <w:t xml:space="preserve"> day of December, 2001.</w:t>
      </w:r>
    </w:p>
    <w:p>
      <w:pPr>
        <w:pStyle w:val="PLDRegularLeft"/>
        <w:rPr>
          <w:rFonts w:ascii="Times New Roman" w:hAnsi="Times New Roman" w:cs="Times New Roman"/>
        </w:rPr>
      </w:pPr>
      <w:r>
        <w:rPr>
          <w:rFonts w:cs="Times New Roman" w:ascii="Times New Roman" w:hAnsi="Times New Roman"/>
        </w:rPr>
      </w:r>
    </w:p>
    <w:p>
      <w:pPr>
        <w:pStyle w:val="Normal"/>
        <w:spacing w:lineRule="exact" w:line="480"/>
        <w:rPr>
          <w:rFonts w:ascii="Times New Roman" w:hAnsi="Times New Roman" w:cs="Times New Roman"/>
        </w:rPr>
      </w:pPr>
      <w:r>
        <w:rPr>
          <w:rFonts w:cs="Times New Roman"/>
        </w:rPr>
      </w:r>
    </w:p>
    <w:p>
      <w:pPr>
        <w:pStyle w:val="Normal"/>
        <w:rPr/>
      </w:pPr>
      <w:r>
        <w:rPr/>
        <w:tab/>
        <w:tab/>
        <w:tab/>
        <w:tab/>
        <w:tab/>
        <w:tab/>
      </w:r>
      <w:r>
        <w:rPr>
          <w:u w:val="single"/>
        </w:rPr>
        <w:tab/>
        <w:tab/>
        <w:tab/>
        <w:tab/>
        <w:tab/>
        <w:tab/>
      </w:r>
    </w:p>
    <w:p>
      <w:pPr>
        <w:pStyle w:val="Normal"/>
        <w:rPr/>
      </w:pPr>
      <w:r>
        <w:rPr/>
        <w:tab/>
        <w:tab/>
        <w:tab/>
        <w:tab/>
        <w:tab/>
        <w:tab/>
        <w:tab/>
        <w:tab/>
        <w:t>Becky Roberts</w:t>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872" w:right="1008" w:gutter="0" w:header="720" w:top="1008" w:footer="432"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720"/>
        <w:rPr/>
      </w:pPr>
      <w:r>
        <w:rPr>
          <w:rStyle w:val="FootnoteCharacters"/>
        </w:rPr>
        <w:footnoteRef/>
      </w:r>
      <w:r>
        <w:rPr>
          <w:vertAlign w:val="superscript"/>
        </w:rPr>
        <w:t>/</w:t>
      </w:r>
      <w:r>
        <w:rPr/>
        <w:t xml:space="preserve"> </w:t>
        <w:tab/>
      </w:r>
      <w:r>
        <w:rPr>
          <w:u w:val="single"/>
        </w:rPr>
        <w:t>See</w:t>
      </w:r>
      <w:r>
        <w:rPr/>
        <w:t xml:space="preserve">, </w:t>
      </w:r>
      <w:r>
        <w:rPr>
          <w:u w:val="single"/>
        </w:rPr>
        <w:t>also</w:t>
      </w:r>
      <w:r>
        <w:rPr/>
        <w:t xml:space="preserve">, reply comments filed on December 4, 2001.  </w:t>
      </w:r>
    </w:p>
  </w:footnote>
  <w:footnote w:id="3">
    <w:p>
      <w:pPr>
        <w:pStyle w:val="FootnoteText"/>
        <w:ind w:hanging="720" w:start="720" w:end="720"/>
        <w:rPr/>
      </w:pPr>
      <w:r>
        <w:rPr>
          <w:rStyle w:val="FootnoteCharacters"/>
        </w:rPr>
        <w:footnoteRef/>
      </w:r>
      <w:r>
        <w:rPr>
          <w:vertAlign w:val="superscript"/>
        </w:rPr>
        <w:t>/</w:t>
      </w:r>
      <w:r>
        <w:rPr/>
        <w:t xml:space="preserve"> </w:t>
        <w:tab/>
      </w:r>
      <w:r>
        <w:rPr>
          <w:u w:val="single"/>
        </w:rPr>
        <w:t>See</w:t>
      </w:r>
      <w:r>
        <w:rPr/>
        <w:t>, Tr. 59:  “I believe some of you have already appealed the Constitutional issues to the Supreme Court already ... if you want to influence me, you put in practical examples of what would happen.”</w:t>
      </w:r>
    </w:p>
  </w:footnote>
  <w:footnote w:id="4">
    <w:p>
      <w:pPr>
        <w:pStyle w:val="FootnoteText"/>
        <w:ind w:hanging="720" w:start="720" w:end="720"/>
        <w:rPr/>
      </w:pPr>
      <w:r>
        <w:rPr>
          <w:rStyle w:val="FootnoteCharacters"/>
        </w:rPr>
        <w:footnoteRef/>
      </w:r>
      <w:r>
        <w:rPr>
          <w:vertAlign w:val="superscript"/>
        </w:rPr>
        <w:t>/</w:t>
      </w:r>
      <w:r>
        <w:rPr/>
        <w:t xml:space="preserve"> </w:t>
        <w:tab/>
      </w:r>
      <w:r>
        <w:rPr>
          <w:u w:val="single"/>
        </w:rPr>
        <w:t>See</w:t>
      </w:r>
      <w:r>
        <w:rPr/>
        <w:t>, Response of Sutter Health to Questions Raised in Order Instituting Investigation, I.01</w:t>
        <w:noBreakHyphen/>
        <w:t>12</w:t>
        <w:noBreakHyphen/>
        <w:t>008, filed on December 18, 2001 (“Sutter Health Comments”) at 1.</w:t>
      </w:r>
    </w:p>
  </w:footnote>
  <w:footnote w:id="5">
    <w:p>
      <w:pPr>
        <w:pStyle w:val="FootnoteText"/>
        <w:ind w:hanging="720" w:start="720" w:end="720"/>
        <w:rPr/>
      </w:pPr>
      <w:r>
        <w:rPr>
          <w:rStyle w:val="FootnoteCharacters"/>
        </w:rPr>
        <w:footnoteRef/>
      </w:r>
      <w:r>
        <w:rPr>
          <w:vertAlign w:val="superscript"/>
        </w:rPr>
        <w:t>/</w:t>
      </w:r>
      <w:r>
        <w:rPr/>
        <w:t xml:space="preserve"> </w:t>
        <w:tab/>
        <w:t>See Comments of McDonald’s Corporation’s Comments in Response to Order Instituting Investigation; Response of the Los Angeles Unified School District to Order Instituting Investigation; Response of the California Manufacturers and Technology Association to Order Instituting Investigation.</w:t>
      </w:r>
    </w:p>
  </w:footnote>
  <w:footnote w:id="6">
    <w:p>
      <w:pPr>
        <w:pStyle w:val="FootnoteText"/>
        <w:ind w:hanging="720" w:start="720" w:end="720"/>
        <w:rPr/>
      </w:pPr>
      <w:r>
        <w:rPr>
          <w:rStyle w:val="FootnoteCharacters"/>
        </w:rPr>
        <w:footnoteRef/>
      </w:r>
      <w:r>
        <w:rPr>
          <w:vertAlign w:val="superscript"/>
        </w:rPr>
        <w:t>/</w:t>
      </w:r>
      <w:r>
        <w:rPr/>
        <w:t xml:space="preserve"> </w:t>
        <w:tab/>
        <w:t xml:space="preserve">As noted above, the appropriate list to use for this purpose is SDG&amp;E’s “DASR” list of November 1, 2001.  </w:t>
      </w:r>
    </w:p>
  </w:footnote>
  <w:footnote w:id="7">
    <w:p>
      <w:pPr>
        <w:pStyle w:val="FootnoteText"/>
        <w:ind w:hanging="720" w:start="720" w:end="720"/>
        <w:rPr/>
      </w:pPr>
      <w:r>
        <w:rPr>
          <w:rStyle w:val="FootnoteCharacters"/>
        </w:rPr>
        <w:footnoteRef/>
      </w:r>
      <w:r>
        <w:rPr>
          <w:vertAlign w:val="superscript"/>
        </w:rPr>
        <w:t>/</w:t>
      </w:r>
      <w:r>
        <w:rPr/>
        <w:t xml:space="preserve"> </w:t>
        <w:tab/>
      </w:r>
      <w:r>
        <w:rPr>
          <w:highlight w:val="yellow"/>
        </w:rPr>
        <w:t>For example, any modification to this list must be verified by the Commission to ensure that the customer was actually a direct access customer as of September 20, 2001.  Also, the Commission should address whether customers that were returned to bundled utility service prior to September 20, 2001, should be grandfathered and whether the individual customer of a larger association must have an executed ESP contract as of September 20, 2001, if the association had a “master” agreement with an ESP executed as of that date.  Moreover, it is not clear whether a customer that is bought out by another company should continue to be grandfathered indefinitely.  If the Commission adopts the CMTA/CLECA proposal, SDG&amp;E suggests that the Commission request additional comments on such implementation issues</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720" w:end="0"/>
      <w:outlineLvl w:val="1"/>
    </w:pPr>
    <w:rPr>
      <w:b/>
    </w:rPr>
  </w:style>
  <w:style w:type="paragraph" w:styleId="Heading3">
    <w:name w:val="heading 3"/>
    <w:basedOn w:val="Heading2"/>
    <w:next w:val="Normal"/>
    <w:qFormat/>
    <w:pPr>
      <w:keepLines/>
      <w:numPr>
        <w:ilvl w:val="2"/>
        <w:numId w:val="1"/>
      </w:numPr>
      <w:spacing w:lineRule="exact" w:line="480" w:before="240" w:after="120"/>
      <w:ind w:hanging="0" w:start="0" w:end="0"/>
      <w:outlineLvl w:val="2"/>
    </w:pPr>
    <w:rPr>
      <w:rFonts w:ascii="NewCenturySchlbk" w:hAnsi="NewCenturySchlbk" w:cs="NewCenturySchlbk"/>
      <w:u w:val="single"/>
    </w:rPr>
  </w:style>
  <w:style w:type="paragraph" w:styleId="Heading4">
    <w:name w:val="heading 4"/>
    <w:basedOn w:val="Heading2"/>
    <w:next w:val="Normal"/>
    <w:qFormat/>
    <w:pPr>
      <w:keepLines/>
      <w:numPr>
        <w:ilvl w:val="3"/>
        <w:numId w:val="1"/>
      </w:numPr>
      <w:spacing w:lineRule="exact" w:line="480" w:before="240" w:after="120"/>
      <w:ind w:hanging="0" w:start="0" w:end="0"/>
      <w:outlineLvl w:val="3"/>
    </w:pPr>
    <w:rPr>
      <w:rFonts w:ascii="NewCenturySchlbk" w:hAnsi="NewCenturySchlbk" w:cs="NewCenturySchlbk"/>
      <w:u w:val="single"/>
    </w:rPr>
  </w:style>
  <w:style w:type="paragraph" w:styleId="Heading5">
    <w:name w:val="heading 5"/>
    <w:basedOn w:val="Heading2"/>
    <w:next w:val="Normal"/>
    <w:qFormat/>
    <w:pPr>
      <w:keepLines/>
      <w:numPr>
        <w:ilvl w:val="4"/>
        <w:numId w:val="1"/>
      </w:numPr>
      <w:spacing w:lineRule="exact" w:line="480" w:before="240" w:after="120"/>
      <w:ind w:hanging="0" w:start="0" w:end="0"/>
      <w:outlineLvl w:val="4"/>
    </w:pPr>
    <w:rPr>
      <w:rFonts w:ascii="NewCenturySchlbk" w:hAnsi="NewCenturySchlbk" w:cs="NewCenturySchlbk"/>
      <w:u w:val="single"/>
    </w:rPr>
  </w:style>
  <w:style w:type="paragraph" w:styleId="Heading6">
    <w:name w:val="heading 6"/>
    <w:basedOn w:val="Heading2"/>
    <w:next w:val="Normal"/>
    <w:qFormat/>
    <w:pPr>
      <w:keepLines/>
      <w:numPr>
        <w:ilvl w:val="5"/>
        <w:numId w:val="1"/>
      </w:numPr>
      <w:spacing w:lineRule="exact" w:line="480" w:before="240" w:after="120"/>
      <w:ind w:hanging="0" w:start="0" w:end="0"/>
      <w:outlineLvl w:val="5"/>
    </w:pPr>
    <w:rPr>
      <w:rFonts w:ascii="NewCenturySchlbk" w:hAnsi="NewCenturySchlbk" w:cs="NewCenturySchlbk"/>
      <w:u w:val="single"/>
    </w:rPr>
  </w:style>
  <w:style w:type="paragraph" w:styleId="Heading7">
    <w:name w:val="heading 7"/>
    <w:basedOn w:val="Heading2"/>
    <w:next w:val="Normal"/>
    <w:qFormat/>
    <w:pPr>
      <w:keepLines/>
      <w:numPr>
        <w:ilvl w:val="6"/>
        <w:numId w:val="1"/>
      </w:numPr>
      <w:spacing w:lineRule="exact" w:line="480" w:before="240" w:after="120"/>
      <w:ind w:hanging="0" w:start="0" w:end="0"/>
      <w:outlineLvl w:val="6"/>
    </w:pPr>
    <w:rPr>
      <w:rFonts w:ascii="NewCenturySchlbk" w:hAnsi="NewCenturySchlbk" w:cs="NewCenturySchlbk"/>
      <w:u w:val="single"/>
    </w:rPr>
  </w:style>
  <w:style w:type="paragraph" w:styleId="Heading8">
    <w:name w:val="heading 8"/>
    <w:basedOn w:val="Heading2"/>
    <w:next w:val="Normal"/>
    <w:qFormat/>
    <w:pPr>
      <w:keepLines/>
      <w:numPr>
        <w:ilvl w:val="7"/>
        <w:numId w:val="1"/>
      </w:numPr>
      <w:spacing w:lineRule="exact" w:line="480" w:before="240" w:after="120"/>
      <w:ind w:hanging="0" w:start="0" w:end="0"/>
      <w:outlineLvl w:val="7"/>
    </w:pPr>
    <w:rPr>
      <w:rFonts w:ascii="NewCenturySchlbk" w:hAnsi="NewCenturySchlbk" w:cs="NewCenturySchlbk"/>
      <w:u w:val="single"/>
    </w:rPr>
  </w:style>
  <w:style w:type="paragraph" w:styleId="Heading9">
    <w:name w:val="heading 9"/>
    <w:basedOn w:val="Heading2"/>
    <w:next w:val="Normal"/>
    <w:qFormat/>
    <w:pPr>
      <w:keepLines/>
      <w:numPr>
        <w:ilvl w:val="8"/>
        <w:numId w:val="1"/>
      </w:numPr>
      <w:spacing w:lineRule="exact" w:line="480" w:before="240" w:after="120"/>
      <w:ind w:hanging="0" w:start="0" w:end="0"/>
      <w:outlineLvl w:val="8"/>
    </w:pPr>
    <w:rPr>
      <w:rFonts w:ascii="NewCenturySchlbk" w:hAnsi="NewCenturySchlbk" w:cs="NewCenturySchlbk"/>
      <w:u w:val="single"/>
    </w:rPr>
  </w:style>
  <w:style w:type="character" w:styleId="WW8Num1z0">
    <w:name w:val="WW8Num1z0"/>
    <w:qFormat/>
    <w:rPr>
      <w:color w:val="0000FF"/>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720" w:end="0"/>
    </w:pPr>
    <w:rPr/>
  </w:style>
  <w:style w:type="paragraph" w:styleId="FootnoteText">
    <w:name w:val="footnote text"/>
    <w:basedOn w:val="Normal"/>
    <w:pPr/>
    <w:rPr>
      <w:sz w:val="20"/>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spacing w:lineRule="auto" w:line="480"/>
      <w:ind w:firstLine="720" w:start="1440" w:end="0"/>
    </w:pPr>
    <w:rPr>
      <w:b/>
    </w:rPr>
  </w:style>
  <w:style w:type="paragraph" w:styleId="titlebar">
    <w:name w:val="title bar"/>
    <w:basedOn w:val="Normal"/>
    <w:qFormat/>
    <w:pPr>
      <w:keepNext w:val="true"/>
      <w:suppressAutoHyphens w:val="true"/>
      <w:jc w:val="center"/>
    </w:pPr>
    <w:rPr>
      <w:rFonts w:ascii="Helvetica" w:hAnsi="Helvetica" w:cs="Helvetica"/>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paragraph" w:styleId="IndexHeading">
    <w:name w:val="index heading"/>
    <w:basedOn w:val="Normal"/>
    <w:next w:val="Index1"/>
    <w:pPr/>
    <w:rPr>
      <w:rFonts w:ascii="NewCenturySchlbk" w:hAnsi="NewCenturySchlbk" w:cs="NewCenturySchlbk"/>
    </w:rPr>
  </w:style>
  <w:style w:type="paragraph" w:styleId="Index1">
    <w:name w:val="index 1"/>
    <w:basedOn w:val="Normal"/>
    <w:next w:val="Index2"/>
    <w:pPr>
      <w:keepNext w:val="true"/>
      <w:keepLines/>
      <w:spacing w:lineRule="atLeast" w:line="240" w:before="240" w:after="0"/>
      <w:jc w:val="center"/>
    </w:pPr>
    <w:rPr>
      <w:rFonts w:ascii="NewCenturySchlbk" w:hAnsi="NewCenturySchlbk" w:cs="NewCenturySchlbk"/>
      <w:b/>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rFonts w:ascii="NewCenturySchlbk" w:hAnsi="NewCenturySchlbk" w:cs="NewCenturySchlbk"/>
    </w:rPr>
  </w:style>
  <w:style w:type="paragraph" w:styleId="Heading1Text">
    <w:name w:val="Heading 1 Text"/>
    <w:basedOn w:val="Normal"/>
    <w:qFormat/>
    <w:pPr>
      <w:spacing w:lineRule="atLeast" w:line="480"/>
      <w:ind w:firstLine="720" w:start="0" w:end="0"/>
    </w:pPr>
    <w:rPr>
      <w:rFonts w:ascii="NewCenturySchlbk" w:hAnsi="NewCenturySchlbk" w:cs="NewCenturySchlbk"/>
    </w:rPr>
  </w:style>
  <w:style w:type="paragraph" w:styleId="Heading2Text">
    <w:name w:val="Heading 2 Text"/>
    <w:basedOn w:val="Heading1Text"/>
    <w:qFormat/>
    <w:pPr/>
    <w:rPr/>
  </w:style>
  <w:style w:type="paragraph" w:styleId="Heading4Text">
    <w:name w:val="Heading 4 Text"/>
    <w:basedOn w:val="Heading2Text"/>
    <w:qFormat/>
    <w:pPr>
      <w:ind w:firstLine="720" w:start="1440" w:end="0"/>
    </w:pPr>
    <w:rPr/>
  </w:style>
  <w:style w:type="paragraph" w:styleId="standard">
    <w:name w:val="standard"/>
    <w:basedOn w:val="Normal"/>
    <w:qFormat/>
    <w:pPr>
      <w:widowControl w:val="false"/>
      <w:overflowPunct w:val="false"/>
      <w:autoSpaceDE w:val="false"/>
      <w:spacing w:lineRule="auto" w:line="360"/>
      <w:ind w:firstLine="720" w:start="0" w:end="0"/>
      <w:textAlignment w:val="baseline"/>
    </w:pPr>
    <w:rPr>
      <w:rFonts w:ascii="Palatino;Book Antiqua" w:hAnsi="Palatino;Book Antiqua" w:cs="Palatino;Book Antiqua"/>
      <w:sz w:val="26"/>
    </w:rPr>
  </w:style>
  <w:style w:type="paragraph" w:styleId="bodytextcontinued">
    <w:name w:val="bodytextcontinued"/>
    <w:basedOn w:val="Normal"/>
    <w:qFormat/>
    <w:pPr>
      <w:spacing w:before="100" w:after="100"/>
    </w:pPr>
    <w:rPr>
      <w:szCs w:val="24"/>
    </w:rPr>
  </w:style>
  <w:style w:type="paragraph" w:styleId="NormalWeb">
    <w:name w:val="Normal (Web)"/>
    <w:basedOn w:val="Normal"/>
    <w:qFormat/>
    <w:pPr>
      <w:spacing w:before="100" w:after="100"/>
    </w:pPr>
    <w:rPr>
      <w:szCs w:val="24"/>
    </w:rPr>
  </w:style>
  <w:style w:type="paragraph" w:styleId="PLDRegularLeft">
    <w:name w:val="PLD Regular Left"/>
    <w:basedOn w:val="Normal"/>
    <w:qFormat/>
    <w:pPr>
      <w:spacing w:lineRule="exact" w:line="480"/>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2001-12-27T14:31:00Z</dcterms:created>
  <dc:creator>Daniel W. Douglass</dc:creator>
  <dc:description/>
  <dc:language>en-CA</dc:language>
  <cp:lastModifiedBy>Daniel W. Douglass</cp:lastModifiedBy>
  <cp:lastPrinted>2001-12-26T16:07:00Z</cp:lastPrinted>
  <dcterms:modified xsi:type="dcterms:W3CDTF">2001-12-27T14:36:00Z</dcterms:modified>
  <cp:revision>4</cp:revision>
  <dc:subject/>
  <dc:title>BEFORE THE PUBLIC UTILITIES COMMISSION</dc:title>
</cp:coreProperties>
</file>