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Edison Advice Letter Summary</w:t>
        <w:br/>
        <w:br/>
        <w:t>December 26, 2001</w:t>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12/10/01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12/30/01</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rPr/>
            </w:pPr>
            <w:r>
              <w:rPr/>
              <w:t xml:space="preserve">This advice filing </w:t>
            </w:r>
            <w:r>
              <w:rPr>
                <w:szCs w:val="24"/>
              </w:rPr>
              <w:t>requests Commission authority for SCE to provide standby service, at SCE’s rates, to the Pastoria Energy Facility, which is being developed by Calpine.  As background, the Pastoria project is in PG&amp;E’s service territory, but is located less than two miles from SCE’s existing Pastoria Substation and will physically interconnect with that substation which is located in PG&amp;E’s retail electric service territory.  The Pastoria Substation is part of SCE’s radial electric system that primarily delivers power to Southern California from SCE’s hydroelectric plants and several qualifying facilities.  Pastoria may need off-site power to start up its generating equipment, and should Pastoria experience a forced outage, it would look to SCE for standby power.  The lines that will deliver power from the Pastoria plant to SCE’s substation will also have the capability of delivering necessary standby power to the Pastoria plant load.  SCE has received authorization from PG&amp;E to provide this service.  A copy of the Letter of Consent is attached to the advice letter.</w:t>
            </w:r>
          </w:p>
          <w:p>
            <w:pPr>
              <w:pStyle w:val="WW-BodyText2"/>
              <w:widowControl/>
              <w:rPr>
                <w:szCs w:val="24"/>
              </w:rPr>
            </w:pPr>
            <w:r>
              <w:rPr>
                <w:szCs w:val="24"/>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1278-E-F</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12/12/01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overflowPunct w:val="true"/>
              <w:textAlignment w:val="auto"/>
              <w:rPr/>
            </w:pPr>
            <w:r>
              <w:rPr/>
              <w:t xml:space="preserve">This advice filing by SCE submits its Modified Affiliate Transactions Compliance Plan (MCP). This advice filing updates SCE’s compliance statements with regard to certain affiliate transaction rules, constitutes the annual update that Rule VI.A requires when there are changes to a utility’s compliance plan and consolidates pending compliance statements filed pursuant to Rule VI.B for several recently-created affiliates.  SCE has three previously-filed affiliate transactions compliance plans pending which, taken together, address all of the Commission’s Affiliate Transaction Rules adopted in R.97-04-011/I.97-04-012.  The letter states that certain additional modifications have been made necessary by changes at SCE and among its affiliates during 2001.  Rather than providing updates only to those rules where changes are currently warranted—and thereby creating a fourth document which must be referenced in order to identify all prevailing compliance statements—SCE has elected to consolidate all of its current compliance statements into an attached document.  For each Rule, SCE notes in the attached MCP when the language was first filed with the Commission and whether changes to that language have been made in the present filing.  </w:t>
            </w:r>
          </w:p>
          <w:p>
            <w:pPr>
              <w:pStyle w:val="Normal"/>
              <w:widowControl/>
              <w:overflowPunct w:val="true"/>
              <w:jc w:val="both"/>
              <w:textAlignment w:val="auto"/>
              <w:rPr/>
            </w:pPr>
            <w:r>
              <w:rPr/>
            </w:r>
          </w:p>
          <w:p>
            <w:pPr>
              <w:pStyle w:val="Normal"/>
              <w:widowControl/>
              <w:overflowPunct w:val="true"/>
              <w:jc w:val="both"/>
              <w:textAlignment w:val="auto"/>
              <w:rPr/>
            </w:pPr>
            <w:r>
              <w:rPr/>
              <w:t>I have indicated that this should be reviewed because the affiliate transactions proceeding took up a great deal of time and attention a few years ago and new participants in the competitive market achieved a victory when strict rules were adopted.  My fear (perhaps unwarranted) is that the utilities may now be weakening the original rules through the device of these subsequent annual updates.  Therefore, it would be good if this could be reviewed.</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1590-E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12/17/01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1/6/02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w:t>
            </w:r>
            <w:r>
              <w:rPr>
                <w:szCs w:val="24"/>
              </w:rPr>
              <w:t>increases the TTA charges for the rate schedules for Residential and Small Commercial Customers. The revised TTA charges will be included in the Rate Components Tables of the applicable rate schedules. Changes in the TTA charges will be offset by an equal and opposite change in the residually determined Generation rate component.  As background, in D.97-09-056, the Commission authorized SCE to file routine True-Up Mechanism advice letters on an annual basis, at least 15 days before the end of the calendar year.  Using the methodology approved by the Commission in D.97-09-056, this advice filing modifies the variables used in the TTA charges calculation and provides the resulting modified TTA charges.</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1591-E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1/10/02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provides information regarding SCE’s display of tariff information on its Internet website, as required by Interim D.01-07-026.  As background, that decision adopted certain requirements for publishing and providing service </w:t>
            </w:r>
            <w:r>
              <w:rPr>
                <w:szCs w:val="24"/>
              </w:rPr>
              <w:t>under utility tariffs.  The decision also requires that the tariffs comply with the informational requirements of the Commission’s Rule 3 regarding the clarity of tariffs, the requirement that advertisements be consistent with the tariffs, and that the tariffs readily disclose information a customer would need in deciding between service options.</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1583-E-A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12/24/01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1/13/02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w:t>
            </w:r>
            <w:r>
              <w:rPr>
                <w:szCs w:val="24"/>
              </w:rPr>
              <w:t xml:space="preserve">supplements, in part, Advice 1583-E, </w:t>
            </w:r>
            <w:r>
              <w:rPr>
                <w:i/>
                <w:iCs/>
                <w:szCs w:val="24"/>
              </w:rPr>
              <w:t>Tariff Revisions Implementing D.01-09-012 Relating to the Demand Reduction And Self-Generation Program</w:t>
            </w:r>
            <w:r>
              <w:rPr>
                <w:szCs w:val="24"/>
              </w:rPr>
              <w:t>s, filed on October 15, 2001.  As background, on September 6, the Commission issued D.01-09-012 to clarify ambiguity and eliminate inconsistencies in D.01-07-028 as raised by PG&amp;E in its Petition for Modification</w:t>
            </w:r>
            <w:r>
              <w:rPr>
                <w:i/>
                <w:iCs/>
                <w:szCs w:val="24"/>
              </w:rPr>
              <w:t xml:space="preserve"> </w:t>
            </w:r>
            <w:r>
              <w:rPr>
                <w:szCs w:val="24"/>
              </w:rPr>
              <w:t>of the earlier decision.   The Commission approved PG&amp;E’s proposed modifications set forth in its petition and found that the proposed modifications that eliminated the ambiguous and contradictory language in D.01-07-028 were reasonable.</w:t>
            </w:r>
            <w:r>
              <w:rPr>
                <w:sz w:val="16"/>
                <w:szCs w:val="16"/>
              </w:rPr>
              <w:t xml:space="preserve"> </w:t>
            </w:r>
            <w:r>
              <w:rPr>
                <w:szCs w:val="24"/>
              </w:rPr>
              <w:t>On October 15, 2001, SCE filed Advice 1583-E which eliminates the Demand Reduction and Self-Generation Program Incremental Cost (DRSGPIC) Balancing Account previously authorized in D.01-07-028 and establishes the DRSGPIC Memorandum Account as authorized in D.01-09-012.  SCE is submitting tariff modifications in this supplemental advice filing to: (1) clarify that the entries to the DRSGPIC Memorandum Account are to reflect the actual incremental program expenditures associated with the Demand Reduction and Self-Generation Programs not to exceed the Commission authorized dollar limits on an annual basis; (2) clarify that the entries to the Transition Revenue Account (TRA) are to reflect amortization of the authorized distribution revenue requirement associated with the Demand Reduction and Self-Generation Programs;</w:t>
            </w:r>
            <w:r>
              <w:rPr>
                <w:sz w:val="16"/>
                <w:szCs w:val="16"/>
              </w:rPr>
              <w:t xml:space="preserve">3 </w:t>
            </w:r>
            <w:r>
              <w:rPr>
                <w:szCs w:val="24"/>
              </w:rPr>
              <w:t>and (3) correct minor typographical errors. These tariff modifications are a result of discussions between SCE and the Commission’s Energy Division in order to clarify the Commission’s intent in D.01-09-012.</w:t>
            </w:r>
          </w:p>
          <w:p>
            <w:pPr>
              <w:pStyle w:val="Normal"/>
              <w:widowControl/>
              <w:overflowPunct w:val="true"/>
              <w:jc w:val="both"/>
              <w:textAlignment w:val="auto"/>
              <w:rPr>
                <w:szCs w:val="24"/>
              </w:rPr>
            </w:pPr>
            <w:r>
              <w:rPr>
                <w:szCs w:val="24"/>
              </w:rPr>
            </w:r>
          </w:p>
          <w:p>
            <w:pPr>
              <w:pStyle w:val="Normal"/>
              <w:widowControl/>
              <w:overflowPunct w:val="true"/>
              <w:jc w:val="both"/>
              <w:textAlignment w:val="auto"/>
              <w:rPr>
                <w:szCs w:val="24"/>
              </w:rPr>
            </w:pPr>
            <w:r>
              <w:rPr>
                <w:szCs w:val="24"/>
              </w:rPr>
              <w:t>This filing may be of interest to firms involved or interested in demand reduction and self-generation programs.</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1278-E-F</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12/12/01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1278-E-F</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12/12/01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1/2/02</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w:t>
            </w:r>
          </w:p>
          <w:p>
            <w:pPr>
              <w:pStyle w:val="WW-BodyText2"/>
              <w:widowControl/>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2001-12-26T22:28:00Z</dcterms:created>
  <dc:creator>Daniel W. Douglass</dc:creator>
  <dc:description/>
  <dc:language>en-CA</dc:language>
  <cp:lastModifiedBy>Daniel W. Douglass</cp:lastModifiedBy>
  <cp:lastPrinted>2001-12-10T13:46:00Z</cp:lastPrinted>
  <dcterms:modified xsi:type="dcterms:W3CDTF">2001-12-26T22:53:00Z</dcterms:modified>
  <cp:revision>6</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