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jc w:val="center"/>
        <w:rPr>
          <w:b/>
          <w:sz w:val="28"/>
        </w:rPr>
      </w:pPr>
      <w:r>
        <w:rPr>
          <w:b/>
          <w:sz w:val="28"/>
        </w:rPr>
        <w:t>Consensus Building Process for Uniform Business Practices</w:t>
      </w:r>
    </w:p>
    <w:p>
      <w:pPr>
        <w:pStyle w:val="Normal"/>
        <w:jc w:val="center"/>
        <w:rPr>
          <w:b/>
          <w:sz w:val="28"/>
        </w:rPr>
      </w:pPr>
      <w:r>
        <w:rPr>
          <w:b/>
          <w:sz w:val="28"/>
        </w:rPr>
        <w:t>UBP 2000 Continuation Plan (Revised Draft)</w:t>
      </w:r>
      <w:r>
        <w:rPr>
          <w:rStyle w:val="FootnoteCharacters"/>
          <w:rStyle w:val="FootnoteReference"/>
          <w:b/>
          <w:sz w:val="28"/>
        </w:rPr>
        <w:footnoteReference w:id="2"/>
      </w:r>
    </w:p>
    <w:p>
      <w:pPr>
        <w:pStyle w:val="Normal"/>
        <w:jc w:val="center"/>
        <w:rPr>
          <w:sz w:val="24"/>
        </w:rPr>
      </w:pPr>
      <w:r>
        <w:rPr>
          <w:sz w:val="28"/>
        </w:rPr>
        <w:t>Prepared for Consideration of UBP Advisory Committee</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Goals and Objectives (UBP Advisory Committee Task)</w:t>
      </w:r>
    </w:p>
    <w:p>
      <w:pPr>
        <w:pStyle w:val="Normal"/>
        <w:rPr>
          <w:sz w:val="24"/>
        </w:rPr>
      </w:pPr>
      <w:r>
        <w:rPr>
          <w:sz w:val="24"/>
        </w:rPr>
        <w:t xml:space="preserve">The UBP Advisory Committee should agree as soon as possible on the goals and objectives of the overall consensus building effort, going beyond the tactical objective of completing an integrated consensus document comprehensively covering operational requirements.  The question of whether "policies," as well as "practices," should be considered by the participants remains unclear, as does the question of whether the results sought are "best practices" or "uniform practices."  Adopting a clear set of goals and objectives is essential for participants to constructively engage the more difficult issues without fear that their contributions will be misconstrued or misrepresented later.  </w:t>
      </w:r>
    </w:p>
    <w:p>
      <w:pPr>
        <w:pStyle w:val="Normal"/>
        <w:rPr>
          <w:sz w:val="24"/>
        </w:rPr>
      </w:pPr>
      <w:r>
        <w:rPr>
          <w:sz w:val="24"/>
        </w:rPr>
      </w:r>
    </w:p>
    <w:p>
      <w:pPr>
        <w:pStyle w:val="Normal"/>
        <w:rPr>
          <w:sz w:val="24"/>
        </w:rPr>
      </w:pPr>
      <w:r>
        <w:rPr>
          <w:sz w:val="24"/>
        </w:rPr>
      </w:r>
    </w:p>
    <w:p>
      <w:pPr>
        <w:pStyle w:val="Normal"/>
        <w:rPr>
          <w:sz w:val="24"/>
        </w:rPr>
      </w:pPr>
      <w:r>
        <w:rPr>
          <w:b/>
          <w:sz w:val="24"/>
          <w:u w:val="single"/>
        </w:rPr>
        <w:t>Vision Statement  (UBP Advisory Committee Task)</w:t>
      </w:r>
    </w:p>
    <w:p>
      <w:pPr>
        <w:pStyle w:val="Normal"/>
        <w:rPr>
          <w:sz w:val="24"/>
        </w:rPr>
      </w:pPr>
      <w:r>
        <w:rPr>
          <w:sz w:val="24"/>
        </w:rPr>
        <w:t>The UBP Advisory Committee will add significant value and leadership to the overall effort if it also provides a Vision statement to the main participant group for endorsement.  The vision statement would describe in summary how existing market flaws will be addressed by the uniform practices effort and whether the effort has a finite time frame or is expected to continue in some form after July, 2000.  To the extent that the Vision statement is able to definitively address how the Final Report is to be used, a major roadblock to forward progress will be removed.  The Vision statement could also address how this effort can act as the cornerstone for consistent practices in other, synergistic markets such as gas.</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Scope of Continuation Effort Coverage</w:t>
      </w:r>
    </w:p>
    <w:p>
      <w:pPr>
        <w:pStyle w:val="Normal"/>
        <w:rPr/>
      </w:pPr>
      <w:r>
        <w:rPr>
          <w:sz w:val="24"/>
        </w:rPr>
        <w:t>UBP 2000 discussions should be designed to cover all remaining operational practices involving utilities and suppliers which are essential to the smooth functioning of the retail electricity market (the anticipated five month time frame does not permit adequate time for equal consideration of the gas market</w:t>
      </w:r>
      <w:r>
        <w:rPr>
          <w:rStyle w:val="FootnoteCharacters"/>
          <w:rStyle w:val="FootnoteReference"/>
          <w:sz w:val="24"/>
        </w:rPr>
        <w:footnoteReference w:id="3"/>
      </w:r>
      <w:r>
        <w:rPr>
          <w:sz w:val="24"/>
        </w:rPr>
        <w:t xml:space="preserve"> or wholesale market operations).  This retail electric process focus and coverage are consistent with, and will build upon, work performed previously under the CUBR and other pioneering efforts and conform to the list of priority topics identified during UBP's October structure setting workshop in Boston.  The metering topic is planned to be covered in parallel with the main discussion track during the year 2000 and should be integrated into the final UBP product for review and acceptance.  Relevant sections of the CUBR document will be used as straw men for workshop discussions wherever possible; moreover these may be supplemented by additional materials as appropriate for each of the topics to be discussed.</w:t>
      </w:r>
      <w:r>
        <w:br w:type="page"/>
      </w:r>
    </w:p>
    <w:p>
      <w:pPr>
        <w:pStyle w:val="Normal"/>
        <w:rPr>
          <w:sz w:val="24"/>
        </w:rPr>
      </w:pPr>
      <w:r>
        <w:rPr>
          <w:sz w:val="24"/>
        </w:rPr>
      </w:r>
    </w:p>
    <w:p>
      <w:pPr>
        <w:pStyle w:val="Normal"/>
        <w:rPr>
          <w:b/>
        </w:rPr>
      </w:pPr>
      <w:r>
        <w:rPr>
          <w:b/>
        </w:rPr>
        <w:t>Consensus Building Process for Uniform Business Practices</w:t>
        <w:tab/>
        <w:tab/>
        <w:tab/>
        <w:tab/>
        <w:t xml:space="preserve">   page 2</w:t>
      </w:r>
    </w:p>
    <w:p>
      <w:pPr>
        <w:pStyle w:val="Normal"/>
        <w:rPr>
          <w:b/>
        </w:rPr>
      </w:pPr>
      <w:r>
        <w:rPr>
          <w:b/>
        </w:rPr>
        <w:t>UBP 2000 Continuation Plan (Draft)</w:t>
      </w:r>
    </w:p>
    <w:p>
      <w:pPr>
        <w:pStyle w:val="Normal"/>
        <w:rPr>
          <w:sz w:val="24"/>
        </w:rPr>
      </w:pPr>
      <w:r>
        <w:rPr/>
        <w:t>Prepared for Consideration of UBP Advisory Committee</w:t>
      </w:r>
    </w:p>
    <w:p>
      <w:pPr>
        <w:pStyle w:val="Normal"/>
        <w:rPr>
          <w:sz w:val="24"/>
        </w:rPr>
      </w:pPr>
      <w:r>
        <w:rPr>
          <w:sz w:val="24"/>
        </w:rPr>
      </w:r>
    </w:p>
    <w:p>
      <w:pPr>
        <w:pStyle w:val="Normal"/>
        <w:rPr>
          <w:sz w:val="24"/>
        </w:rPr>
      </w:pPr>
      <w:r>
        <w:rPr>
          <w:sz w:val="24"/>
        </w:rPr>
        <w:t>There is intention by the UBP group to encourage participants from the gas industry to provide insight into how the considered electric business practices may affect or relate to current and future gas industry practices.  Gas operations and business requirements for the Choice environment will not be directly addressed in the next series of planned UBP workshops.</w:t>
      </w:r>
    </w:p>
    <w:p>
      <w:pPr>
        <w:pStyle w:val="Normal"/>
        <w:rPr>
          <w:sz w:val="24"/>
        </w:rPr>
      </w:pPr>
      <w:r>
        <w:rPr>
          <w:sz w:val="24"/>
        </w:rPr>
      </w:r>
    </w:p>
    <w:p>
      <w:pPr>
        <w:pStyle w:val="Normal"/>
        <w:rPr>
          <w:sz w:val="24"/>
        </w:rPr>
      </w:pPr>
      <w:r>
        <w:rPr>
          <w:sz w:val="24"/>
        </w:rPr>
        <w:t>The Advisory Committee has recommended to the UBP group the following topics for discussion in 2000, considering the issues identified for discussion during the Boston structure setting meeting in October, 1999:</w:t>
      </w:r>
    </w:p>
    <w:p>
      <w:pPr>
        <w:pStyle w:val="Normal"/>
        <w:numPr>
          <w:ilvl w:val="0"/>
          <w:numId w:val="1"/>
        </w:numPr>
        <w:tabs>
          <w:tab w:val="clear" w:pos="720"/>
          <w:tab w:val="left" w:pos="1440" w:leader="none"/>
        </w:tabs>
        <w:ind w:hanging="720" w:start="1440" w:end="0"/>
        <w:rPr>
          <w:sz w:val="24"/>
        </w:rPr>
      </w:pPr>
      <w:r>
        <w:rPr>
          <w:sz w:val="24"/>
        </w:rPr>
        <w:t>Metering (via a parallel effort)</w:t>
      </w:r>
    </w:p>
    <w:p>
      <w:pPr>
        <w:pStyle w:val="Normal"/>
        <w:numPr>
          <w:ilvl w:val="0"/>
          <w:numId w:val="1"/>
        </w:numPr>
        <w:tabs>
          <w:tab w:val="clear" w:pos="720"/>
          <w:tab w:val="left" w:pos="1440" w:leader="none"/>
        </w:tabs>
        <w:ind w:hanging="720" w:start="1440" w:end="0"/>
        <w:rPr>
          <w:sz w:val="24"/>
        </w:rPr>
      </w:pPr>
      <w:r>
        <w:rPr>
          <w:sz w:val="24"/>
        </w:rPr>
        <w:t>Licensing</w:t>
      </w:r>
    </w:p>
    <w:p>
      <w:pPr>
        <w:pStyle w:val="Normal"/>
        <w:numPr>
          <w:ilvl w:val="0"/>
          <w:numId w:val="1"/>
        </w:numPr>
        <w:tabs>
          <w:tab w:val="clear" w:pos="720"/>
          <w:tab w:val="left" w:pos="1440" w:leader="none"/>
        </w:tabs>
        <w:ind w:hanging="720" w:start="1440" w:end="0"/>
        <w:rPr>
          <w:sz w:val="24"/>
        </w:rPr>
      </w:pPr>
      <w:r>
        <w:rPr>
          <w:sz w:val="24"/>
        </w:rPr>
        <w:t>Creditworthiness</w:t>
      </w:r>
    </w:p>
    <w:p>
      <w:pPr>
        <w:pStyle w:val="Normal"/>
        <w:numPr>
          <w:ilvl w:val="0"/>
          <w:numId w:val="1"/>
        </w:numPr>
        <w:tabs>
          <w:tab w:val="clear" w:pos="720"/>
          <w:tab w:val="left" w:pos="1440" w:leader="none"/>
        </w:tabs>
        <w:ind w:hanging="720" w:start="1440" w:end="0"/>
        <w:rPr>
          <w:sz w:val="24"/>
        </w:rPr>
      </w:pPr>
      <w:r>
        <w:rPr>
          <w:sz w:val="24"/>
        </w:rPr>
        <w:t>Dispute Resolution</w:t>
      </w:r>
    </w:p>
    <w:p>
      <w:pPr>
        <w:pStyle w:val="Normal"/>
        <w:numPr>
          <w:ilvl w:val="0"/>
          <w:numId w:val="1"/>
        </w:numPr>
        <w:tabs>
          <w:tab w:val="clear" w:pos="720"/>
          <w:tab w:val="left" w:pos="1440" w:leader="none"/>
        </w:tabs>
        <w:ind w:hanging="720" w:start="1440" w:end="0"/>
        <w:rPr>
          <w:sz w:val="24"/>
        </w:rPr>
      </w:pPr>
      <w:r>
        <w:rPr>
          <w:sz w:val="24"/>
        </w:rPr>
        <w:t>Customer Service &amp; Call Handling</w:t>
      </w:r>
    </w:p>
    <w:p>
      <w:pPr>
        <w:pStyle w:val="Normal"/>
        <w:numPr>
          <w:ilvl w:val="0"/>
          <w:numId w:val="1"/>
        </w:numPr>
        <w:tabs>
          <w:tab w:val="clear" w:pos="720"/>
          <w:tab w:val="left" w:pos="1440" w:leader="none"/>
        </w:tabs>
        <w:ind w:hanging="720" w:start="1440" w:end="0"/>
        <w:rPr>
          <w:sz w:val="24"/>
        </w:rPr>
      </w:pPr>
      <w:r>
        <w:rPr>
          <w:sz w:val="24"/>
        </w:rPr>
        <w:t>Performance Standards</w:t>
      </w:r>
    </w:p>
    <w:p>
      <w:pPr>
        <w:pStyle w:val="Normal"/>
        <w:numPr>
          <w:ilvl w:val="0"/>
          <w:numId w:val="1"/>
        </w:numPr>
        <w:tabs>
          <w:tab w:val="clear" w:pos="720"/>
          <w:tab w:val="left" w:pos="1440" w:leader="none"/>
        </w:tabs>
        <w:ind w:hanging="720" w:start="1440" w:end="0"/>
        <w:rPr>
          <w:sz w:val="24"/>
        </w:rPr>
      </w:pPr>
      <w:r>
        <w:rPr>
          <w:sz w:val="24"/>
        </w:rPr>
        <w:t>Revisit Enrollment &amp; Billing Issues</w:t>
      </w:r>
    </w:p>
    <w:p>
      <w:pPr>
        <w:pStyle w:val="Normal"/>
        <w:numPr>
          <w:ilvl w:val="0"/>
          <w:numId w:val="1"/>
        </w:numPr>
        <w:tabs>
          <w:tab w:val="clear" w:pos="720"/>
          <w:tab w:val="left" w:pos="1440" w:leader="none"/>
        </w:tabs>
        <w:ind w:hanging="720" w:start="1440" w:end="0"/>
        <w:rPr>
          <w:sz w:val="24"/>
        </w:rPr>
      </w:pPr>
      <w:r>
        <w:rPr>
          <w:sz w:val="24"/>
        </w:rPr>
        <w:t>Consideration of Outreach Feedback</w:t>
      </w:r>
    </w:p>
    <w:p>
      <w:pPr>
        <w:pStyle w:val="Normal"/>
        <w:numPr>
          <w:ilvl w:val="0"/>
          <w:numId w:val="1"/>
        </w:numPr>
        <w:tabs>
          <w:tab w:val="clear" w:pos="720"/>
          <w:tab w:val="left" w:pos="1440" w:leader="none"/>
        </w:tabs>
        <w:ind w:hanging="720" w:start="1440" w:end="0"/>
        <w:rPr>
          <w:sz w:val="24"/>
        </w:rPr>
      </w:pPr>
      <w:r>
        <w:rPr>
          <w:sz w:val="24"/>
        </w:rPr>
        <w:t>Gas Implications/Operations</w:t>
      </w:r>
    </w:p>
    <w:p>
      <w:pPr>
        <w:pStyle w:val="Normal"/>
        <w:numPr>
          <w:ilvl w:val="0"/>
          <w:numId w:val="1"/>
        </w:numPr>
        <w:tabs>
          <w:tab w:val="clear" w:pos="720"/>
          <w:tab w:val="left" w:pos="1440" w:leader="none"/>
        </w:tabs>
        <w:ind w:hanging="720" w:start="1440" w:end="0"/>
        <w:rPr>
          <w:sz w:val="24"/>
        </w:rPr>
      </w:pPr>
      <w:r>
        <w:rPr>
          <w:sz w:val="24"/>
        </w:rPr>
        <w:t>Model for Ongoing Update of Standards</w:t>
      </w:r>
    </w:p>
    <w:p>
      <w:pPr>
        <w:pStyle w:val="Normal"/>
        <w:rPr>
          <w:sz w:val="24"/>
        </w:rPr>
      </w:pPr>
      <w:r>
        <w:rPr>
          <w:sz w:val="24"/>
        </w:rPr>
      </w:r>
    </w:p>
    <w:p>
      <w:pPr>
        <w:pStyle w:val="Normal"/>
        <w:rPr>
          <w:b/>
          <w:sz w:val="24"/>
          <w:u w:val="single"/>
        </w:rPr>
      </w:pPr>
      <w:r>
        <w:rPr>
          <w:b/>
          <w:sz w:val="24"/>
          <w:u w:val="single"/>
        </w:rPr>
        <w:t>Schedule and Milestone Target Dates</w:t>
      </w:r>
    </w:p>
    <w:p>
      <w:pPr>
        <w:pStyle w:val="Normal"/>
        <w:rPr>
          <w:sz w:val="24"/>
        </w:rPr>
      </w:pPr>
      <w:r>
        <w:rPr>
          <w:sz w:val="24"/>
        </w:rPr>
        <w:t>The process continuation phase will run from 2/1/00 through 7/31/00.</w:t>
      </w:r>
    </w:p>
    <w:p>
      <w:pPr>
        <w:pStyle w:val="Normal"/>
        <w:rPr>
          <w:sz w:val="24"/>
        </w:rPr>
      </w:pPr>
      <w:r>
        <w:rPr>
          <w:sz w:val="24"/>
        </w:rPr>
        <w:t>Draft Final Report to be submitted for review on or about 6/30/00.</w:t>
      </w:r>
    </w:p>
    <w:p>
      <w:pPr>
        <w:pStyle w:val="Normal"/>
        <w:rPr>
          <w:sz w:val="24"/>
        </w:rPr>
      </w:pPr>
      <w:r>
        <w:rPr>
          <w:sz w:val="24"/>
        </w:rPr>
        <w:t>Publish Final Report on or about 7/31/00.</w:t>
      </w:r>
    </w:p>
    <w:p>
      <w:pPr>
        <w:pStyle w:val="Normal"/>
        <w:rPr>
          <w:sz w:val="24"/>
        </w:rPr>
      </w:pPr>
      <w:r>
        <w:rPr>
          <w:sz w:val="24"/>
        </w:rPr>
      </w:r>
    </w:p>
    <w:p>
      <w:pPr>
        <w:pStyle w:val="Normal"/>
        <w:rPr>
          <w:sz w:val="24"/>
        </w:rPr>
      </w:pPr>
      <w:r>
        <w:rPr>
          <w:sz w:val="24"/>
        </w:rPr>
        <w:t xml:space="preserve">Four, two-day facilitated workshops are planned during the first half of 2000, occurring once monthly from March through June (one additional meeting is being planned for February 9-10 for consolidation of 1999 progress).  The monthly meeting format has been proven necessary by the intense nature of the initial meeting schedule, which did not, according to many participants, permit adequate lead time to fully consider the ramifications of taking different positions in upcoming debates.  </w:t>
      </w:r>
    </w:p>
    <w:p>
      <w:pPr>
        <w:pStyle w:val="Normal"/>
        <w:rPr>
          <w:sz w:val="24"/>
        </w:rPr>
      </w:pPr>
      <w:r>
        <w:rPr>
          <w:sz w:val="24"/>
        </w:rPr>
      </w:r>
    </w:p>
    <w:p>
      <w:pPr>
        <w:pStyle w:val="Normal"/>
        <w:rPr>
          <w:sz w:val="24"/>
        </w:rPr>
      </w:pPr>
      <w:r>
        <w:rPr>
          <w:sz w:val="24"/>
        </w:rPr>
        <w:t xml:space="preserve">To overcome problems observed by participants during late 1999, pre-workshop materials will be distributed electronically two weeks prior to each workshop to insure that each participant has the opportunity to adequately prepare and to solicit input from others in their respective organizations.  </w:t>
      </w:r>
    </w:p>
    <w:p>
      <w:pPr>
        <w:pStyle w:val="Normal"/>
        <w:rPr>
          <w:sz w:val="24"/>
        </w:rPr>
      </w:pPr>
      <w:r>
        <w:rPr>
          <w:sz w:val="24"/>
        </w:rPr>
      </w:r>
      <w:r>
        <w:br w:type="page"/>
      </w:r>
    </w:p>
    <w:p>
      <w:pPr>
        <w:pStyle w:val="Normal"/>
        <w:rPr>
          <w:b/>
        </w:rPr>
      </w:pPr>
      <w:r>
        <w:rPr>
          <w:b/>
        </w:rPr>
        <w:t>Consensus Building Process for Uniform Business Practices</w:t>
        <w:tab/>
        <w:tab/>
        <w:tab/>
        <w:tab/>
        <w:t xml:space="preserve">   page 3</w:t>
      </w:r>
    </w:p>
    <w:p>
      <w:pPr>
        <w:pStyle w:val="Normal"/>
        <w:rPr>
          <w:b/>
        </w:rPr>
      </w:pPr>
      <w:r>
        <w:rPr>
          <w:b/>
        </w:rPr>
        <w:t>UBP 2000 Continuation Plan (Draft)</w:t>
      </w:r>
    </w:p>
    <w:p>
      <w:pPr>
        <w:pStyle w:val="Normal"/>
        <w:rPr/>
      </w:pPr>
      <w:r>
        <w:rPr/>
        <w:t>Prepared for Consideration of UBP Advisory Committee</w:t>
      </w:r>
    </w:p>
    <w:p>
      <w:pPr>
        <w:pStyle w:val="Normal"/>
        <w:rPr/>
      </w:pPr>
      <w:r>
        <w:rPr/>
      </w:r>
    </w:p>
    <w:p>
      <w:pPr>
        <w:pStyle w:val="Normal"/>
        <w:rPr/>
      </w:pPr>
      <w:r>
        <w:rPr/>
      </w:r>
    </w:p>
    <w:p>
      <w:pPr>
        <w:pStyle w:val="Normal"/>
        <w:rPr>
          <w:sz w:val="24"/>
        </w:rPr>
      </w:pPr>
      <w:r>
        <w:rPr>
          <w:sz w:val="24"/>
        </w:rPr>
      </w:r>
    </w:p>
    <w:p>
      <w:pPr>
        <w:pStyle w:val="Normal"/>
        <w:rPr>
          <w:sz w:val="24"/>
        </w:rPr>
      </w:pPr>
      <w:r>
        <w:rPr>
          <w:sz w:val="24"/>
        </w:rPr>
        <w:t xml:space="preserve">A draft, preliminary consensus document will be prepared and distributed to participants shortly after each respective workshop, and the agenda for each workshop will accommodate discussion of outlying issues from prior topical discussions.  </w:t>
      </w:r>
    </w:p>
    <w:p>
      <w:pPr>
        <w:pStyle w:val="Normal"/>
        <w:rPr>
          <w:b/>
          <w:sz w:val="24"/>
          <w:u w:val="single"/>
        </w:rPr>
      </w:pPr>
      <w:r>
        <w:rPr>
          <w:b/>
          <w:sz w:val="24"/>
          <w:u w:val="single"/>
        </w:rPr>
      </w:r>
    </w:p>
    <w:p>
      <w:pPr>
        <w:pStyle w:val="Normal"/>
        <w:rPr>
          <w:b/>
          <w:sz w:val="24"/>
          <w:u w:val="single"/>
        </w:rPr>
      </w:pPr>
      <w:r>
        <w:rPr>
          <w:b/>
          <w:sz w:val="24"/>
          <w:u w:val="single"/>
        </w:rPr>
      </w:r>
    </w:p>
    <w:p>
      <w:pPr>
        <w:pStyle w:val="Normal"/>
        <w:rPr>
          <w:sz w:val="24"/>
        </w:rPr>
      </w:pPr>
      <w:r>
        <w:rPr>
          <w:b/>
          <w:sz w:val="24"/>
          <w:u w:val="single"/>
        </w:rPr>
        <w:t>Facilitation Approach</w:t>
      </w:r>
    </w:p>
    <w:p>
      <w:pPr>
        <w:pStyle w:val="Normal"/>
        <w:rPr>
          <w:sz w:val="24"/>
        </w:rPr>
      </w:pPr>
      <w:r>
        <w:rPr>
          <w:sz w:val="24"/>
        </w:rPr>
        <w:t>It is recommended that the roles of facilitator, technical advisor, and consensus drafter be combined into a single entity for overall cost efficiency.  Other steps which may be taken to manage direct costs of the project downward have also been identified.</w:t>
      </w:r>
    </w:p>
    <w:p>
      <w:pPr>
        <w:pStyle w:val="Normal"/>
        <w:rPr>
          <w:sz w:val="24"/>
        </w:rPr>
      </w:pPr>
      <w:r>
        <w:rPr>
          <w:sz w:val="24"/>
        </w:rPr>
      </w:r>
    </w:p>
    <w:p>
      <w:pPr>
        <w:pStyle w:val="Normal"/>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12/16/99</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UBP 2000 Continuation Plan draws heavily on the constructive ideas for moving forward which have been put forth by Commonwealth Edison.</w:t>
      </w:r>
    </w:p>
  </w:footnote>
  <w:footnote w:id="3">
    <w:p>
      <w:pPr>
        <w:pStyle w:val="FootnoteText"/>
        <w:rPr/>
      </w:pPr>
      <w:r>
        <w:rPr>
          <w:rStyle w:val="FootnoteCharacters"/>
        </w:rPr>
        <w:footnoteRef/>
      </w:r>
      <w:r>
        <w:rPr/>
        <w:t xml:space="preserve">  </w:t>
      </w:r>
      <w:r>
        <w:rPr/>
        <w:t>However, the process should enlist the direct involvement and assistance of the AGA in identifying practices which have a high probability of application in the competitive gas market.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2880"/>
        </w:tabs>
        <w:ind w:start="2880" w:hanging="720"/>
      </w:pPr>
      <w:rPr>
        <w:rFonts w:ascii="Times New Roman" w:hAnsi="Times New Roman" w:cs="Times New Roman" w:hint="default"/>
        <w:sz w:val="36"/>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Times New Roman" w:hAnsi="Times New Roman" w:cs="Times New Roman"/>
      <w:sz w:val="36"/>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1999-12-16T14:26:00Z</dcterms:created>
  <dc:creator>Eric P.Cody</dc:creator>
  <dc:description/>
  <dc:language>en-CA</dc:language>
  <cp:lastModifiedBy>Jeffrey Brown</cp:lastModifiedBy>
  <cp:lastPrinted>1999-12-06T10:29:00Z</cp:lastPrinted>
  <dcterms:modified xsi:type="dcterms:W3CDTF">1999-12-17T13:38:00Z</dcterms:modified>
  <cp:revision>3</cp:revision>
  <dc:subject/>
  <dc:title>Consensus Building Process for Uniform Business Practices</dc:title>
</cp:coreProperties>
</file>