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M E M O R A N D U M</w:t>
      </w:r>
    </w:p>
    <w:p>
      <w:pPr>
        <w:pStyle w:val="Header"/>
        <w:tabs>
          <w:tab w:val="clear" w:pos="4419"/>
          <w:tab w:val="clear" w:pos="8838"/>
        </w:tabs>
        <w:rPr>
          <w:sz w:val="32"/>
        </w:rPr>
      </w:pPr>
      <w:r>
        <w:rPr>
          <w:sz w:val="32"/>
        </w:rPr>
      </w:r>
    </w:p>
    <w:p>
      <w:pPr>
        <w:pStyle w:val="Header"/>
        <w:tabs>
          <w:tab w:val="clear" w:pos="4419"/>
          <w:tab w:val="clear" w:pos="8838"/>
        </w:tabs>
        <w:rPr/>
      </w:pPr>
      <w:r>
        <w:rPr/>
      </w:r>
    </w:p>
    <w:p>
      <w:pPr>
        <w:pStyle w:val="Header"/>
        <w:tabs>
          <w:tab w:val="clear" w:pos="4419"/>
          <w:tab w:val="clear" w:pos="8838"/>
        </w:tabs>
        <w:rPr/>
      </w:pPr>
      <w:r>
        <w:rPr/>
      </w:r>
    </w:p>
    <w:tbl>
      <w:tblPr>
        <w:tblW w:w="9164" w:type="dxa"/>
        <w:jc w:val="start"/>
        <w:tblInd w:w="0" w:type="dxa"/>
        <w:tblLayout w:type="fixed"/>
        <w:tblCellMar>
          <w:top w:w="0" w:type="dxa"/>
          <w:start w:w="70" w:type="dxa"/>
          <w:bottom w:w="0" w:type="dxa"/>
          <w:end w:w="70" w:type="dxa"/>
        </w:tblCellMar>
      </w:tblPr>
      <w:tblGrid>
        <w:gridCol w:w="779"/>
        <w:gridCol w:w="8385"/>
      </w:tblGrid>
      <w:tr>
        <w:trPr/>
        <w:tc>
          <w:tcPr>
            <w:tcW w:w="779" w:type="dxa"/>
            <w:tcBorders/>
          </w:tcPr>
          <w:p>
            <w:pPr>
              <w:pStyle w:val="Normal"/>
              <w:jc w:val="both"/>
              <w:rPr>
                <w:b/>
                <w:i/>
                <w:i/>
              </w:rPr>
            </w:pPr>
            <w:r>
              <w:rPr>
                <w:b/>
                <w:i/>
              </w:rPr>
              <w:t>To:</w:t>
            </w:r>
          </w:p>
        </w:tc>
        <w:tc>
          <w:tcPr>
            <w:tcW w:w="8385" w:type="dxa"/>
            <w:tcBorders/>
          </w:tcPr>
          <w:p>
            <w:pPr>
              <w:pStyle w:val="Normal"/>
              <w:snapToGrid w:val="false"/>
              <w:jc w:val="both"/>
              <w:rPr>
                <w:b/>
                <w:i/>
                <w:i/>
              </w:rPr>
            </w:pPr>
            <w:r>
              <w:rPr>
                <w:b/>
                <w:i/>
              </w:rPr>
            </w:r>
          </w:p>
        </w:tc>
      </w:tr>
      <w:tr>
        <w:trPr/>
        <w:tc>
          <w:tcPr>
            <w:tcW w:w="779" w:type="dxa"/>
            <w:tcBorders/>
          </w:tcPr>
          <w:p>
            <w:pPr>
              <w:pStyle w:val="Normal"/>
              <w:snapToGrid w:val="false"/>
              <w:jc w:val="both"/>
              <w:rPr>
                <w:b/>
                <w:i/>
                <w:i/>
              </w:rPr>
            </w:pPr>
            <w:r>
              <w:rPr>
                <w:b/>
                <w:i/>
              </w:rPr>
            </w:r>
          </w:p>
        </w:tc>
        <w:tc>
          <w:tcPr>
            <w:tcW w:w="8385" w:type="dxa"/>
            <w:tcBorders/>
          </w:tcPr>
          <w:p>
            <w:pPr>
              <w:pStyle w:val="Normal"/>
              <w:snapToGrid w:val="false"/>
              <w:jc w:val="both"/>
              <w:rPr>
                <w:b/>
                <w:i/>
                <w:i/>
              </w:rPr>
            </w:pPr>
            <w:r>
              <w:rPr>
                <w:b/>
                <w:i/>
              </w:rPr>
            </w:r>
          </w:p>
        </w:tc>
      </w:tr>
      <w:tr>
        <w:trPr/>
        <w:tc>
          <w:tcPr>
            <w:tcW w:w="779" w:type="dxa"/>
            <w:tcBorders/>
          </w:tcPr>
          <w:p>
            <w:pPr>
              <w:pStyle w:val="Normal"/>
              <w:jc w:val="both"/>
              <w:rPr>
                <w:b/>
                <w:i/>
                <w:i/>
              </w:rPr>
            </w:pPr>
            <w:r>
              <w:rPr>
                <w:b/>
                <w:i/>
              </w:rPr>
              <w:t>Date:</w:t>
            </w:r>
          </w:p>
        </w:tc>
        <w:tc>
          <w:tcPr>
            <w:tcW w:w="8385" w:type="dxa"/>
            <w:tcBorders/>
          </w:tcPr>
          <w:p>
            <w:pPr>
              <w:pStyle w:val="Normal"/>
              <w:jc w:val="both"/>
              <w:rPr/>
            </w:pPr>
            <w:r>
              <w:rPr/>
              <w:t>December 14, 2000</w:t>
            </w:r>
          </w:p>
        </w:tc>
      </w:tr>
      <w:tr>
        <w:trPr/>
        <w:tc>
          <w:tcPr>
            <w:tcW w:w="779" w:type="dxa"/>
            <w:tcBorders/>
          </w:tcPr>
          <w:p>
            <w:pPr>
              <w:pStyle w:val="Normal"/>
              <w:snapToGrid w:val="false"/>
              <w:jc w:val="both"/>
              <w:rPr>
                <w:b/>
                <w:i/>
                <w:i/>
              </w:rPr>
            </w:pPr>
            <w:r>
              <w:rPr>
                <w:b/>
                <w:i/>
              </w:rPr>
            </w:r>
          </w:p>
        </w:tc>
        <w:tc>
          <w:tcPr>
            <w:tcW w:w="8385" w:type="dxa"/>
            <w:tcBorders/>
          </w:tcPr>
          <w:p>
            <w:pPr>
              <w:pStyle w:val="Normal"/>
              <w:snapToGrid w:val="false"/>
              <w:jc w:val="both"/>
              <w:rPr>
                <w:b/>
                <w:i/>
                <w:i/>
              </w:rPr>
            </w:pPr>
            <w:r>
              <w:rPr>
                <w:b/>
                <w:i/>
              </w:rPr>
            </w:r>
          </w:p>
        </w:tc>
      </w:tr>
      <w:tr>
        <w:trPr/>
        <w:tc>
          <w:tcPr>
            <w:tcW w:w="779" w:type="dxa"/>
            <w:tcBorders>
              <w:bottom w:val="single" w:sz="4" w:space="0" w:color="000000"/>
            </w:tcBorders>
          </w:tcPr>
          <w:p>
            <w:pPr>
              <w:pStyle w:val="Normal"/>
              <w:jc w:val="both"/>
              <w:rPr>
                <w:b/>
                <w:i/>
                <w:i/>
              </w:rPr>
            </w:pPr>
            <w:r>
              <w:rPr>
                <w:b/>
                <w:i/>
              </w:rPr>
              <w:t>Re.:</w:t>
            </w:r>
          </w:p>
        </w:tc>
        <w:tc>
          <w:tcPr>
            <w:tcW w:w="8385" w:type="dxa"/>
            <w:tcBorders>
              <w:bottom w:val="single" w:sz="4" w:space="0" w:color="000000"/>
            </w:tcBorders>
          </w:tcPr>
          <w:p>
            <w:pPr>
              <w:pStyle w:val="TEXTO"/>
              <w:rPr/>
            </w:pPr>
            <w:r>
              <w:rPr/>
              <w:t>EPE – Cuiabá project</w:t>
            </w:r>
          </w:p>
        </w:tc>
      </w:tr>
    </w:tbl>
    <w:p>
      <w:pPr>
        <w:pStyle w:val="Normal"/>
        <w:jc w:val="both"/>
        <w:rPr/>
      </w:pPr>
      <w:r>
        <w:rPr/>
      </w:r>
    </w:p>
    <w:p>
      <w:pPr>
        <w:pStyle w:val="Normal"/>
        <w:jc w:val="both"/>
        <w:rPr/>
      </w:pPr>
      <w:r>
        <w:rPr/>
      </w:r>
    </w:p>
    <w:p>
      <w:pPr>
        <w:pStyle w:val="Normal"/>
        <w:jc w:val="both"/>
        <w:rPr/>
      </w:pPr>
      <w:r>
        <w:rPr/>
        <w:t>Further to our memorandum of October 31 and to several telephone understandings held in the last few days, please find outlined below a summary of the conclusions we have reached so far.</w:t>
      </w:r>
    </w:p>
    <w:p>
      <w:pPr>
        <w:pStyle w:val="Normal"/>
        <w:jc w:val="both"/>
        <w:rPr/>
      </w:pPr>
      <w:r>
        <w:rPr/>
      </w:r>
    </w:p>
    <w:p>
      <w:pPr>
        <w:pStyle w:val="Normal"/>
        <w:jc w:val="both"/>
        <w:rPr/>
      </w:pPr>
      <w:r>
        <w:rPr/>
        <w:t>Considering that:</w:t>
      </w:r>
    </w:p>
    <w:p>
      <w:pPr>
        <w:pStyle w:val="Normal"/>
        <w:jc w:val="both"/>
        <w:rPr/>
      </w:pPr>
      <w:r>
        <w:rPr/>
      </w:r>
    </w:p>
    <w:p>
      <w:pPr>
        <w:pStyle w:val="Normal"/>
        <w:numPr>
          <w:ilvl w:val="0"/>
          <w:numId w:val="1"/>
        </w:numPr>
        <w:jc w:val="both"/>
        <w:rPr/>
      </w:pPr>
      <w:r>
        <w:rPr/>
        <w:t>the Cuiabá PPA, whereby EPE assumed the obligation to sell all power its plant generates to FURNAS, was executed on November 17, 1997 based on the winning bid proposal presented by EPE ("EPE's Proposal");</w:t>
      </w:r>
    </w:p>
    <w:p>
      <w:pPr>
        <w:pStyle w:val="Normal"/>
        <w:jc w:val="both"/>
        <w:rPr/>
      </w:pPr>
      <w:r>
        <w:rPr/>
      </w:r>
    </w:p>
    <w:p>
      <w:pPr>
        <w:pStyle w:val="Normal"/>
        <w:numPr>
          <w:ilvl w:val="0"/>
          <w:numId w:val="1"/>
        </w:numPr>
        <w:jc w:val="both"/>
        <w:rPr/>
      </w:pPr>
      <w:r>
        <w:rPr/>
        <w:t>the several changes in the Power Sector legislation occurred after the execution of the Cuiabá PPA have drawn a whole new scenario for the players in this line of business;</w:t>
      </w:r>
    </w:p>
    <w:p>
      <w:pPr>
        <w:pStyle w:val="Normal"/>
        <w:jc w:val="both"/>
        <w:rPr/>
      </w:pPr>
      <w:r>
        <w:rPr/>
      </w:r>
    </w:p>
    <w:p>
      <w:pPr>
        <w:pStyle w:val="Normal"/>
        <w:numPr>
          <w:ilvl w:val="0"/>
          <w:numId w:val="1"/>
        </w:numPr>
        <w:jc w:val="both"/>
        <w:rPr/>
      </w:pPr>
      <w:r>
        <w:rPr/>
        <w:t>EPE's Proposal did not contemplate the obligations introduced by the new Power Sector legislation;</w:t>
      </w:r>
    </w:p>
    <w:p>
      <w:pPr>
        <w:pStyle w:val="Normal"/>
        <w:jc w:val="both"/>
        <w:rPr/>
      </w:pPr>
      <w:r>
        <w:rPr/>
      </w:r>
    </w:p>
    <w:p>
      <w:pPr>
        <w:pStyle w:val="Normal"/>
        <w:numPr>
          <w:ilvl w:val="0"/>
          <w:numId w:val="1"/>
        </w:numPr>
        <w:jc w:val="both"/>
        <w:rPr/>
      </w:pPr>
      <w:r>
        <w:rPr/>
        <w:t>by means of ANEEL Resolution 009 of 1998, later on extended by ANEEL Resolution 367, 2000, and in view of the new legislation of the Power Sector, EPE received the authorization to figure as an Independent Power Producer, as regulated by Decree No. 2003 of September 10, 1996 (“IPP”);</w:t>
      </w:r>
    </w:p>
    <w:p>
      <w:pPr>
        <w:pStyle w:val="Normal"/>
        <w:jc w:val="both"/>
        <w:rPr/>
      </w:pPr>
      <w:r>
        <w:rPr/>
      </w:r>
    </w:p>
    <w:p>
      <w:pPr>
        <w:pStyle w:val="Normal"/>
        <w:numPr>
          <w:ilvl w:val="0"/>
          <w:numId w:val="1"/>
        </w:numPr>
        <w:jc w:val="both"/>
        <w:rPr/>
      </w:pPr>
      <w:r>
        <w:rPr/>
        <w:t>an IPP has the right to freely trade the energy it generates;</w:t>
      </w:r>
    </w:p>
    <w:p>
      <w:pPr>
        <w:pStyle w:val="Normal"/>
        <w:jc w:val="both"/>
        <w:rPr/>
      </w:pPr>
      <w:r>
        <w:rPr/>
      </w:r>
    </w:p>
    <w:p>
      <w:pPr>
        <w:pStyle w:val="Normal"/>
        <w:numPr>
          <w:ilvl w:val="0"/>
          <w:numId w:val="1"/>
        </w:numPr>
        <w:jc w:val="both"/>
        <w:rPr/>
      </w:pPr>
      <w:r>
        <w:rPr/>
        <w:t>despite of ANEEL’s authorization, EPE cannot be considered an ordinary IPP once it delivers all the power it generates to FURNAS;</w:t>
      </w:r>
    </w:p>
    <w:p>
      <w:pPr>
        <w:pStyle w:val="Normal"/>
        <w:jc w:val="both"/>
        <w:rPr/>
      </w:pPr>
      <w:r>
        <w:rPr/>
      </w:r>
    </w:p>
    <w:p>
      <w:pPr>
        <w:pStyle w:val="Normal"/>
        <w:numPr>
          <w:ilvl w:val="0"/>
          <w:numId w:val="1"/>
        </w:numPr>
        <w:jc w:val="both"/>
        <w:rPr/>
      </w:pPr>
      <w:r>
        <w:rPr/>
        <w:t>to carryout its activities ordinary IPPs need to have access and make use of the Interconnected Transmission System;</w:t>
      </w:r>
    </w:p>
    <w:p>
      <w:pPr>
        <w:pStyle w:val="Normal"/>
        <w:jc w:val="both"/>
        <w:rPr/>
      </w:pPr>
      <w:r>
        <w:rPr/>
      </w:r>
    </w:p>
    <w:p>
      <w:pPr>
        <w:pStyle w:val="Normal"/>
        <w:numPr>
          <w:ilvl w:val="0"/>
          <w:numId w:val="1"/>
        </w:numPr>
        <w:jc w:val="both"/>
        <w:rPr/>
      </w:pPr>
      <w:r>
        <w:rPr/>
        <w:t>the access and use of the Interconnected Transmission System is granted to all players of the Wholesale Market (MAE), including the IPPs, upon the execution of the Agreements for the Connection (“CCT”) and Use of the transmission system (“CUST”) and payment of the related fees (to be calculated in accordance with the methodology set forth by ANEEL’s Resolution No. 281 of October 1</w:t>
      </w:r>
      <w:r>
        <w:rPr>
          <w:vertAlign w:val="superscript"/>
        </w:rPr>
        <w:t>st</w:t>
      </w:r>
      <w:r>
        <w:rPr/>
        <w:t>, 1999).</w:t>
      </w:r>
    </w:p>
    <w:p>
      <w:pPr>
        <w:pStyle w:val="Normal"/>
        <w:jc w:val="both"/>
        <w:rPr/>
      </w:pPr>
      <w:r>
        <w:rPr/>
      </w:r>
    </w:p>
    <w:p>
      <w:pPr>
        <w:pStyle w:val="Normal"/>
        <w:jc w:val="both"/>
        <w:rPr/>
      </w:pPr>
      <w:r>
        <w:rPr/>
        <w:t>We concluded as follows:</w:t>
      </w:r>
    </w:p>
    <w:p>
      <w:pPr>
        <w:pStyle w:val="Normal"/>
        <w:jc w:val="both"/>
        <w:rPr/>
      </w:pPr>
      <w:r>
        <w:rPr/>
      </w:r>
    </w:p>
    <w:p>
      <w:pPr>
        <w:pStyle w:val="Normal"/>
        <w:numPr>
          <w:ilvl w:val="0"/>
          <w:numId w:val="2"/>
        </w:numPr>
        <w:jc w:val="both"/>
        <w:rPr/>
      </w:pPr>
      <w:r>
        <w:rPr/>
        <w:t>The legislation currently in force requires EPE to execute the CUST and the CCT in case same is somehow connected to the Interconnected Transmission System.</w:t>
      </w:r>
    </w:p>
    <w:p>
      <w:pPr>
        <w:pStyle w:val="Normal"/>
        <w:jc w:val="both"/>
        <w:rPr/>
      </w:pPr>
      <w:r>
        <w:rPr/>
      </w:r>
    </w:p>
    <w:p>
      <w:pPr>
        <w:pStyle w:val="Normal"/>
        <w:numPr>
          <w:ilvl w:val="0"/>
          <w:numId w:val="2"/>
        </w:numPr>
        <w:jc w:val="both"/>
        <w:rPr/>
      </w:pPr>
      <w:r>
        <w:rPr/>
        <w:t>The Cuiabá PPA was executed prior to the introduction of the new rules for the power sector, i.e. in a whole different scenario than the one we face today, and therefore some of its provisions may be deemed inadequate or the agreement judged silent in view of the new relations/obligations established by the new rules.</w:t>
      </w:r>
    </w:p>
    <w:p>
      <w:pPr>
        <w:pStyle w:val="Normal"/>
        <w:jc w:val="both"/>
        <w:rPr/>
      </w:pPr>
      <w:r>
        <w:rPr/>
      </w:r>
    </w:p>
    <w:p>
      <w:pPr>
        <w:pStyle w:val="Normal"/>
        <w:jc w:val="both"/>
        <w:rPr/>
      </w:pPr>
      <w:r>
        <w:rPr/>
        <w:t>In view of items 1 and 2 above, EPE may file of a petition with ANEEL requesting a special treatment to the Cuiabá PPA in view of the particularities relating to such agreement, which in certain situations cannot be accommodated by the current legislation; such special treatment meaning that the Cuiabá PPA would have the responsibilities contained therein maintained as they are, hence having FURNAS responsible for the costs with the connection and use of the Interconnected Transmission System.</w:t>
      </w:r>
    </w:p>
    <w:p>
      <w:pPr>
        <w:pStyle w:val="Normal"/>
        <w:jc w:val="both"/>
        <w:rPr/>
      </w:pPr>
      <w:r>
        <w:rPr/>
      </w:r>
    </w:p>
    <w:p>
      <w:pPr>
        <w:pStyle w:val="Normal"/>
        <w:jc w:val="both"/>
        <w:rPr/>
      </w:pPr>
      <w:r>
        <w:rPr/>
        <w:t>In case the aforementioned request is denied, EPE may request the review of the economic and financial equilibrium of the Cuiabá PPA based on Section 64 of such agreement and pursuant to Article 65 of Law No. 8,666/93, due to the overcoming of new rules creating unpredicted obligations and costs affecting the relationship between the parties under the agreement.</w:t>
      </w:r>
    </w:p>
    <w:sectPr>
      <w:headerReference w:type="default" r:id="rId2"/>
      <w:footerReference w:type="default" r:id="rId3"/>
      <w:type w:val="nextPage"/>
      <w:pgSz w:w="12240" w:h="16273"/>
      <w:pgMar w:left="1797" w:right="1418" w:gutter="0" w:header="567" w:top="623" w:footer="851"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right" w:pos="9072" w:leader="none"/>
      </w:tabs>
      <w:rPr/>
    </w:pPr>
    <w:r>
      <mc:AlternateContent>
        <mc:Choice Requires="wps">
          <w:drawing>
            <wp:anchor behindDoc="1" distT="0" distB="0" distL="114935" distR="114935" simplePos="0" locked="0" layoutInCell="1" allowOverlap="1" relativeHeight="9">
              <wp:simplePos x="0" y="0"/>
              <wp:positionH relativeFrom="column">
                <wp:posOffset>496570</wp:posOffset>
              </wp:positionH>
              <wp:positionV relativeFrom="paragraph">
                <wp:posOffset>626745</wp:posOffset>
              </wp:positionV>
              <wp:extent cx="5276215" cy="1270"/>
              <wp:effectExtent l="635" t="6350" r="635" b="6350"/>
              <wp:wrapNone/>
              <wp:docPr id="1" name=""/>
              <a:graphic xmlns:a="http://schemas.openxmlformats.org/drawingml/2006/main">
                <a:graphicData uri="http://schemas.microsoft.com/office/word/2010/wordprocessingShape">
                  <wps:wsp>
                    <wps:cNvSpPr/>
                    <wps:spPr>
                      <a:xfrm flipV="1">
                        <a:off x="0" y="0"/>
                        <a:ext cx="5276160" cy="1440"/>
                      </a:xfrm>
                      <a:prstGeom prst="line">
                        <a:avLst/>
                      </a:prstGeom>
                      <a:ln w="12600">
                        <a:solidFill>
                          <a:srgbClr val="000080"/>
                        </a:solidFill>
                        <a:miter/>
                      </a:ln>
                    </wps:spPr>
                    <wps:style>
                      <a:lnRef idx="0"/>
                      <a:fillRef idx="0"/>
                      <a:effectRef idx="0"/>
                      <a:fontRef idx="minor"/>
                    </wps:style>
                    <wps:bodyPr/>
                  </wps:wsp>
                </a:graphicData>
              </a:graphic>
            </wp:anchor>
          </w:drawing>
        </mc:Choice>
        <mc:Fallback>
          <w:pict>
            <v:line id="shape_0" from="39.1pt,49.35pt" to="454.5pt,49.4pt" stroked="t" o:allowincell="f" style="position:absolute;flip:y">
              <v:stroke color="navy" weight="12600" joinstyle="miter" endcap="flat"/>
              <v:fill o:detectmouseclick="t" on="false"/>
              <w10:wrap type="none"/>
            </v:line>
          </w:pict>
        </mc:Fallback>
      </mc:AlternateContent>
    </w:r>
    <w:r>
      <w:rPr/>
      <w:drawing>
        <wp:inline distT="0" distB="0" distL="0" distR="0">
          <wp:extent cx="474980" cy="654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2" t="-16" r="-22" b="-16"/>
                  <a:stretch>
                    <a:fillRect/>
                  </a:stretch>
                </pic:blipFill>
                <pic:spPr bwMode="auto">
                  <a:xfrm>
                    <a:off x="0" y="0"/>
                    <a:ext cx="474980" cy="654050"/>
                  </a:xfrm>
                  <a:prstGeom prst="rect">
                    <a:avLst/>
                  </a:prstGeom>
                  <a:noFill/>
                </pic:spPr>
              </pic:pic>
            </a:graphicData>
          </a:graphic>
        </wp:inline>
      </w:drawing>
    </w:r>
    <w:r>
      <w:rPr/>
      <w:tab/>
    </w:r>
    <w:r>
      <w:rPr/>
      <w:drawing>
        <wp:inline distT="0" distB="0" distL="0" distR="0">
          <wp:extent cx="594360" cy="15748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23" t="-88" r="-23" b="-88"/>
                  <a:stretch>
                    <a:fillRect/>
                  </a:stretch>
                </pic:blipFill>
                <pic:spPr bwMode="auto">
                  <a:xfrm>
                    <a:off x="0" y="0"/>
                    <a:ext cx="594360" cy="157480"/>
                  </a:xfrm>
                  <a:prstGeom prst="rect">
                    <a:avLst/>
                  </a:prstGeom>
                  <a:noFill/>
                </pic:spPr>
              </pic:pic>
            </a:graphicData>
          </a:graphic>
        </wp:inline>
      </w:drawing>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90"/>
        </w:tabs>
        <w:ind w:start="390" w:hanging="39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character" w:styleId="WW8Num1z0">
    <w:name w:val="WW8Num1z0"/>
    <w:qFormat/>
    <w:rPr/>
  </w:style>
  <w:style w:type="character" w:styleId="WW8Num3z0">
    <w:name w:val="WW8Num3z0"/>
    <w:qFormat/>
    <w:rPr/>
  </w:style>
  <w:style w:type="character" w:styleId="Fontepargpadro">
    <w:name w:val="Fonte parág. padrão"/>
    <w:qFormat/>
    <w:rPr/>
  </w:style>
  <w:style w:type="character" w:styleId="PageNumber">
    <w:name w:val="page number"/>
    <w:basedOn w:val="Fontepargpadro"/>
    <w:rPr>
      <w:rFonts w:ascii="CG Times" w:hAnsi="CG Times" w:cs="CG Times"/>
      <w:sz w:val="20"/>
    </w:rPr>
  </w:style>
  <w:style w:type="character" w:styleId="FootnoteCharacters">
    <w:name w:val="Footnote Characters"/>
    <w:basedOn w:val="Fontepargpadro"/>
    <w:qFormat/>
    <w:rPr>
      <w:vertAlign w:val="superscript"/>
    </w:rPr>
  </w:style>
  <w:style w:type="paragraph" w:styleId="Heading">
    <w:name w:val="Heading"/>
    <w:basedOn w:val="Normal"/>
    <w:next w:val="BodyText"/>
    <w:qFormat/>
    <w:pPr>
      <w:jc w:val="center"/>
    </w:pPr>
    <w:rPr>
      <w:b/>
      <w:u w:val="single"/>
      <w:lang w:val="pt-BR"/>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Final">
    <w:name w:val="Final"/>
    <w:basedOn w:val="Normal"/>
    <w:qFormat/>
    <w:pPr>
      <w:jc w:val="center"/>
    </w:pPr>
    <w:rPr/>
  </w:style>
  <w:style w:type="paragraph" w:styleId="cc">
    <w:name w:val="cc"/>
    <w:basedOn w:val="Normal"/>
    <w:qFormat/>
    <w:pPr/>
    <w:rPr>
      <w:b/>
    </w:rPr>
  </w:style>
  <w:style w:type="paragraph" w:styleId="TEXTO">
    <w:name w:val="TEXTO"/>
    <w:basedOn w:val="Normal"/>
    <w:qFormat/>
    <w:pPr>
      <w:jc w:val="both"/>
    </w:pPr>
    <w:rPr/>
  </w:style>
  <w:style w:type="paragraph" w:styleId="Referncia">
    <w:name w:val="Referência"/>
    <w:basedOn w:val="Header"/>
    <w:qFormat/>
    <w:pPr>
      <w:ind w:hanging="680" w:start="3628" w:end="0"/>
      <w:jc w:val="both"/>
    </w:pPr>
    <w:rPr>
      <w:rFonts w:ascii="CG Times" w:hAnsi="CG Times" w:cs="CG Times"/>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Memo-Ing</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2000-12-14T21:15:00Z</dcterms:created>
  <dc:creator>TFTS</dc:creator>
  <dc:description>Modelo de Memorando em Inglês</dc:description>
  <cp:keywords>Memo</cp:keywords>
  <dc:language>en-CA</dc:language>
  <cp:lastModifiedBy>TFTS</cp:lastModifiedBy>
  <cp:lastPrinted>2000-12-14T20:51:00Z</cp:lastPrinted>
  <dcterms:modified xsi:type="dcterms:W3CDTF">2000-12-14T21:21:00Z</dcterms:modified>
  <cp:revision>3</cp:revision>
  <dc:subject/>
  <dc:title>Memorando Inglês</dc:title>
</cp:coreProperties>
</file>