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Consensus Building Process for Uniform Business Practices</w:t>
      </w:r>
    </w:p>
    <w:p>
      <w:pPr>
        <w:pStyle w:val="Normal"/>
        <w:jc w:val="center"/>
        <w:rPr>
          <w:b/>
          <w:sz w:val="22"/>
        </w:rPr>
      </w:pPr>
      <w:r>
        <w:rPr>
          <w:b/>
          <w:sz w:val="22"/>
        </w:rPr>
        <w:t xml:space="preserve">UBP-1999 Stage Closure Plan (Revised) </w:t>
      </w:r>
    </w:p>
    <w:p>
      <w:pPr>
        <w:pStyle w:val="Normal"/>
        <w:jc w:val="center"/>
        <w:rPr>
          <w:sz w:val="22"/>
        </w:rPr>
      </w:pPr>
      <w:r>
        <w:rPr>
          <w:sz w:val="22"/>
        </w:rPr>
        <w:t>Reflecting Discussions of UBP Advisory Committee on 12/8/99</w:t>
      </w:r>
    </w:p>
    <w:p>
      <w:pPr>
        <w:pStyle w:val="Normal"/>
        <w:jc w:val="center"/>
        <w:rPr>
          <w:sz w:val="22"/>
        </w:rPr>
      </w:pPr>
      <w:r>
        <w:rPr>
          <w:sz w:val="22"/>
        </w:rPr>
      </w:r>
    </w:p>
    <w:p>
      <w:pPr>
        <w:pStyle w:val="Normal"/>
        <w:jc w:val="center"/>
        <w:rPr>
          <w:sz w:val="22"/>
        </w:rPr>
      </w:pPr>
      <w:r>
        <w:rPr>
          <w:sz w:val="22"/>
        </w:rPr>
      </w:r>
    </w:p>
    <w:p>
      <w:pPr>
        <w:pStyle w:val="Normal"/>
        <w:rPr/>
      </w:pPr>
      <w:r>
        <w:rPr>
          <w:sz w:val="22"/>
        </w:rPr>
        <w:t xml:space="preserve"> </w:t>
      </w:r>
      <w:r>
        <w:rPr>
          <w:b/>
          <w:sz w:val="22"/>
          <w:u w:val="single"/>
        </w:rPr>
        <w:t>Target Date</w:t>
      </w:r>
      <w:r>
        <w:rPr>
          <w:b/>
          <w:sz w:val="22"/>
        </w:rPr>
        <w:tab/>
        <w:tab/>
      </w:r>
      <w:r>
        <w:rPr>
          <w:b/>
          <w:sz w:val="22"/>
          <w:u w:val="single"/>
        </w:rPr>
        <w:t>Task Description______________________________________</w:t>
      </w:r>
    </w:p>
    <w:p>
      <w:pPr>
        <w:pStyle w:val="Normal"/>
        <w:ind w:firstLine="360" w:end="0"/>
        <w:rPr>
          <w:sz w:val="22"/>
        </w:rPr>
      </w:pPr>
      <w:r>
        <w:rPr>
          <w:sz w:val="22"/>
        </w:rPr>
        <w:t>12/9</w:t>
        <w:tab/>
        <w:tab/>
        <w:t>Completed fourth consensus building workshop (Chicago#2)</w:t>
      </w:r>
    </w:p>
    <w:p>
      <w:pPr>
        <w:pStyle w:val="Normal"/>
        <w:ind w:firstLine="360" w:end="0"/>
        <w:rPr>
          <w:sz w:val="22"/>
        </w:rPr>
      </w:pPr>
      <w:r>
        <w:rPr>
          <w:sz w:val="22"/>
        </w:rPr>
      </w:r>
    </w:p>
    <w:p>
      <w:pPr>
        <w:pStyle w:val="Normal"/>
        <w:ind w:hanging="1800" w:start="2160" w:end="0"/>
        <w:rPr>
          <w:sz w:val="22"/>
        </w:rPr>
      </w:pPr>
      <w:r>
        <w:rPr>
          <w:sz w:val="22"/>
        </w:rPr>
        <w:t>12/13</w:t>
        <w:tab/>
        <w:t>Distribute notes and draft consensus document for load profiling and reconciliation via list server</w:t>
      </w:r>
    </w:p>
    <w:p>
      <w:pPr>
        <w:pStyle w:val="Normal"/>
        <w:ind w:hanging="1800" w:start="2160" w:end="0"/>
        <w:rPr>
          <w:sz w:val="22"/>
        </w:rPr>
      </w:pPr>
      <w:r>
        <w:rPr>
          <w:sz w:val="22"/>
        </w:rPr>
      </w:r>
    </w:p>
    <w:p>
      <w:pPr>
        <w:pStyle w:val="Normal"/>
        <w:ind w:hanging="1800" w:start="2160" w:end="0"/>
        <w:rPr>
          <w:sz w:val="22"/>
        </w:rPr>
      </w:pPr>
      <w:r>
        <w:rPr>
          <w:sz w:val="22"/>
        </w:rPr>
        <w:t>12/15</w:t>
        <w:tab/>
        <w:t>Develop draft joint press announcement for internal review, announcing decision to continue with continuation phase (2/1/00-6/30/99) and including the following:</w:t>
      </w:r>
    </w:p>
    <w:p>
      <w:pPr>
        <w:pStyle w:val="Normal"/>
        <w:numPr>
          <w:ilvl w:val="0"/>
          <w:numId w:val="2"/>
        </w:numPr>
        <w:rPr>
          <w:sz w:val="22"/>
        </w:rPr>
      </w:pPr>
      <w:r>
        <w:rPr>
          <w:sz w:val="22"/>
        </w:rPr>
        <w:t>Progress and accomplishments to date and recognized challenges (see attached)</w:t>
      </w:r>
    </w:p>
    <w:p>
      <w:pPr>
        <w:pStyle w:val="Normal"/>
        <w:numPr>
          <w:ilvl w:val="0"/>
          <w:numId w:val="2"/>
        </w:numPr>
        <w:rPr>
          <w:sz w:val="22"/>
        </w:rPr>
      </w:pPr>
      <w:r>
        <w:rPr>
          <w:sz w:val="22"/>
        </w:rPr>
        <w:t>Invitation to non-direct participants to comment on progress drafts, particularly consumer interests and regulatory community</w:t>
      </w:r>
    </w:p>
    <w:p>
      <w:pPr>
        <w:pStyle w:val="Normal"/>
        <w:numPr>
          <w:ilvl w:val="0"/>
          <w:numId w:val="2"/>
        </w:numPr>
        <w:rPr>
          <w:sz w:val="22"/>
        </w:rPr>
      </w:pPr>
      <w:r>
        <w:rPr>
          <w:sz w:val="22"/>
        </w:rPr>
        <w:t>Web site address where progress draft documents are accessible</w:t>
      </w:r>
    </w:p>
    <w:p>
      <w:pPr>
        <w:pStyle w:val="Normal"/>
        <w:numPr>
          <w:ilvl w:val="0"/>
          <w:numId w:val="2"/>
        </w:numPr>
        <w:rPr>
          <w:sz w:val="22"/>
        </w:rPr>
      </w:pPr>
      <w:r>
        <w:rPr>
          <w:sz w:val="22"/>
        </w:rPr>
        <w:t>Schedule for review of  "Interim Report"</w:t>
      </w:r>
    </w:p>
    <w:p>
      <w:pPr>
        <w:pStyle w:val="Normal"/>
        <w:rPr>
          <w:sz w:val="22"/>
        </w:rPr>
      </w:pPr>
      <w:r>
        <w:rPr>
          <w:sz w:val="22"/>
        </w:rPr>
      </w:r>
    </w:p>
    <w:p>
      <w:pPr>
        <w:pStyle w:val="Normal"/>
        <w:ind w:hanging="1800" w:start="2160" w:end="0"/>
        <w:rPr/>
      </w:pPr>
      <w:r>
        <w:rPr>
          <w:sz w:val="22"/>
        </w:rPr>
        <w:t>12/15</w:t>
        <w:tab/>
        <w:t xml:space="preserve">Post on Web site current versions of "preface" document and four topical progress drafts with specific explanation of how the documents should/should not be used; </w:t>
      </w:r>
      <w:r>
        <w:rPr>
          <w:i/>
          <w:sz w:val="22"/>
        </w:rPr>
        <w:t>clearly differentiate between content and purpose of "progress drafts" being posted and "Interim Report" to be released in late January</w:t>
      </w:r>
    </w:p>
    <w:p>
      <w:pPr>
        <w:pStyle w:val="Normal"/>
        <w:ind w:hanging="1800" w:start="2160" w:end="0"/>
        <w:rPr>
          <w:i/>
          <w:i/>
          <w:sz w:val="22"/>
        </w:rPr>
      </w:pPr>
      <w:r>
        <w:rPr>
          <w:i/>
          <w:sz w:val="22"/>
        </w:rPr>
      </w:r>
    </w:p>
    <w:p>
      <w:pPr>
        <w:pStyle w:val="Normal"/>
        <w:ind w:hanging="1800" w:start="2160" w:end="0"/>
        <w:rPr>
          <w:sz w:val="22"/>
        </w:rPr>
      </w:pPr>
      <w:r>
        <w:rPr>
          <w:sz w:val="22"/>
        </w:rPr>
        <w:t>12/20</w:t>
        <w:tab/>
        <w:t>Release joint press announcement;</w:t>
      </w:r>
    </w:p>
    <w:p>
      <w:pPr>
        <w:pStyle w:val="Normal"/>
        <w:ind w:hanging="1800" w:start="2160" w:end="0"/>
        <w:rPr>
          <w:sz w:val="22"/>
        </w:rPr>
      </w:pPr>
      <w:r>
        <w:rPr>
          <w:sz w:val="22"/>
        </w:rPr>
        <w:tab/>
        <w:t>Preliminary outline of draft Interim Report to be submitted for review;  Interim Report to include:</w:t>
      </w:r>
    </w:p>
    <w:p>
      <w:pPr>
        <w:pStyle w:val="Normal"/>
        <w:numPr>
          <w:ilvl w:val="0"/>
          <w:numId w:val="2"/>
        </w:numPr>
        <w:rPr>
          <w:sz w:val="22"/>
        </w:rPr>
      </w:pPr>
      <w:r>
        <w:rPr>
          <w:sz w:val="22"/>
        </w:rPr>
        <w:t>Overview of UBP process</w:t>
      </w:r>
    </w:p>
    <w:p>
      <w:pPr>
        <w:pStyle w:val="Normal"/>
        <w:numPr>
          <w:ilvl w:val="0"/>
          <w:numId w:val="2"/>
        </w:numPr>
        <w:rPr>
          <w:sz w:val="22"/>
        </w:rPr>
      </w:pPr>
      <w:r>
        <w:rPr>
          <w:sz w:val="22"/>
        </w:rPr>
        <w:t>Purpose of Interim Report (provide status report on consensus building; educate and inform)</w:t>
      </w:r>
    </w:p>
    <w:p>
      <w:pPr>
        <w:pStyle w:val="Normal"/>
        <w:numPr>
          <w:ilvl w:val="0"/>
          <w:numId w:val="2"/>
        </w:numPr>
        <w:rPr>
          <w:sz w:val="22"/>
        </w:rPr>
      </w:pPr>
      <w:r>
        <w:rPr>
          <w:sz w:val="22"/>
        </w:rPr>
        <w:t>Preface containing guidelines for eventual use of the final consensus document</w:t>
      </w:r>
    </w:p>
    <w:p>
      <w:pPr>
        <w:pStyle w:val="Normal"/>
        <w:numPr>
          <w:ilvl w:val="0"/>
          <w:numId w:val="2"/>
        </w:numPr>
        <w:rPr>
          <w:sz w:val="22"/>
        </w:rPr>
      </w:pPr>
      <w:r>
        <w:rPr>
          <w:sz w:val="22"/>
        </w:rPr>
        <w:t>Introduction to each topic covered to date</w:t>
      </w:r>
    </w:p>
    <w:p>
      <w:pPr>
        <w:pStyle w:val="Normal"/>
        <w:numPr>
          <w:ilvl w:val="0"/>
          <w:numId w:val="2"/>
        </w:numPr>
        <w:rPr>
          <w:sz w:val="22"/>
        </w:rPr>
      </w:pPr>
      <w:r>
        <w:rPr>
          <w:sz w:val="22"/>
        </w:rPr>
        <w:t>Current progress document for each topic</w:t>
      </w:r>
    </w:p>
    <w:p>
      <w:pPr>
        <w:pStyle w:val="Normal"/>
        <w:numPr>
          <w:ilvl w:val="0"/>
          <w:numId w:val="2"/>
        </w:numPr>
        <w:rPr>
          <w:sz w:val="22"/>
        </w:rPr>
      </w:pPr>
      <w:r>
        <w:rPr>
          <w:sz w:val="22"/>
        </w:rPr>
        <w:t>List of topics not covered in process to date</w:t>
      </w:r>
    </w:p>
    <w:p>
      <w:pPr>
        <w:pStyle w:val="Normal"/>
        <w:numPr>
          <w:ilvl w:val="0"/>
          <w:numId w:val="2"/>
        </w:numPr>
        <w:rPr>
          <w:sz w:val="22"/>
        </w:rPr>
      </w:pPr>
      <w:r>
        <w:rPr>
          <w:sz w:val="22"/>
        </w:rPr>
        <w:t>Glossary of terms</w:t>
      </w:r>
    </w:p>
    <w:p>
      <w:pPr>
        <w:pStyle w:val="Normal"/>
        <w:numPr>
          <w:ilvl w:val="0"/>
          <w:numId w:val="2"/>
        </w:numPr>
        <w:rPr>
          <w:sz w:val="22"/>
        </w:rPr>
      </w:pPr>
      <w:r>
        <w:rPr>
          <w:sz w:val="22"/>
        </w:rPr>
        <w:t>Appendix with:</w:t>
      </w:r>
    </w:p>
    <w:p>
      <w:pPr>
        <w:pStyle w:val="Normal"/>
        <w:numPr>
          <w:ilvl w:val="0"/>
          <w:numId w:val="2"/>
        </w:numPr>
        <w:tabs>
          <w:tab w:val="clear" w:pos="720"/>
          <w:tab w:val="left" w:pos="3600" w:leader="none"/>
        </w:tabs>
        <w:ind w:hanging="720" w:start="3600" w:end="0"/>
        <w:rPr>
          <w:sz w:val="22"/>
        </w:rPr>
      </w:pPr>
      <w:r>
        <w:rPr>
          <w:sz w:val="22"/>
        </w:rPr>
        <w:t>Names of participants by state (optional)</w:t>
      </w:r>
    </w:p>
    <w:p>
      <w:pPr>
        <w:pStyle w:val="Normal"/>
        <w:numPr>
          <w:ilvl w:val="0"/>
          <w:numId w:val="2"/>
        </w:numPr>
        <w:tabs>
          <w:tab w:val="clear" w:pos="720"/>
          <w:tab w:val="left" w:pos="3600" w:leader="none"/>
        </w:tabs>
        <w:ind w:hanging="720" w:start="3600" w:end="0"/>
        <w:rPr>
          <w:sz w:val="22"/>
        </w:rPr>
      </w:pPr>
      <w:r>
        <w:rPr>
          <w:sz w:val="22"/>
        </w:rPr>
        <w:t>Names of UBP Advisory Committee members (optional)</w:t>
      </w:r>
    </w:p>
    <w:p>
      <w:pPr>
        <w:pStyle w:val="Normal"/>
        <w:numPr>
          <w:ilvl w:val="0"/>
          <w:numId w:val="2"/>
        </w:numPr>
        <w:tabs>
          <w:tab w:val="clear" w:pos="720"/>
          <w:tab w:val="left" w:pos="3600" w:leader="none"/>
        </w:tabs>
        <w:ind w:hanging="720" w:start="3600" w:end="0"/>
        <w:rPr>
          <w:sz w:val="22"/>
        </w:rPr>
      </w:pPr>
      <w:r>
        <w:rPr>
          <w:sz w:val="22"/>
        </w:rPr>
        <w:t>Address of Web site</w:t>
      </w:r>
    </w:p>
    <w:p>
      <w:pPr>
        <w:pStyle w:val="Normal"/>
        <w:numPr>
          <w:ilvl w:val="0"/>
          <w:numId w:val="2"/>
        </w:numPr>
        <w:tabs>
          <w:tab w:val="clear" w:pos="720"/>
          <w:tab w:val="left" w:pos="3600" w:leader="none"/>
        </w:tabs>
        <w:ind w:hanging="720" w:start="3600" w:end="0"/>
        <w:rPr>
          <w:sz w:val="22"/>
        </w:rPr>
      </w:pPr>
      <w:r>
        <w:rPr>
          <w:sz w:val="22"/>
        </w:rPr>
        <w:t>Instructions for subscribing to List Server</w:t>
      </w:r>
    </w:p>
    <w:p>
      <w:pPr>
        <w:pStyle w:val="Normal"/>
        <w:numPr>
          <w:ilvl w:val="0"/>
          <w:numId w:val="2"/>
        </w:numPr>
        <w:tabs>
          <w:tab w:val="clear" w:pos="720"/>
          <w:tab w:val="left" w:pos="3600" w:leader="none"/>
        </w:tabs>
        <w:ind w:hanging="720" w:start="3600" w:end="0"/>
        <w:rPr>
          <w:sz w:val="22"/>
        </w:rPr>
      </w:pPr>
      <w:r>
        <w:rPr>
          <w:sz w:val="22"/>
        </w:rPr>
        <w:t>Text of NARUC resolution for reference</w:t>
      </w:r>
    </w:p>
    <w:p>
      <w:pPr>
        <w:pStyle w:val="Normal"/>
        <w:ind w:hanging="1800" w:start="2160" w:end="0"/>
        <w:rPr>
          <w:sz w:val="22"/>
        </w:rPr>
      </w:pPr>
      <w:r>
        <w:rPr>
          <w:sz w:val="22"/>
        </w:rPr>
      </w:r>
    </w:p>
    <w:p>
      <w:pPr>
        <w:pStyle w:val="Normal"/>
        <w:ind w:hanging="1800" w:start="2160" w:end="0"/>
        <w:rPr>
          <w:sz w:val="22"/>
        </w:rPr>
      </w:pPr>
      <w:r>
        <w:rPr>
          <w:sz w:val="22"/>
        </w:rPr>
        <w:t>1/14/00</w:t>
        <w:tab/>
        <w:t>Comments due back on preliminary outline of  Interim Report</w:t>
      </w:r>
    </w:p>
    <w:p>
      <w:pPr>
        <w:pStyle w:val="Normal"/>
        <w:ind w:hanging="1800" w:start="2160" w:end="0"/>
        <w:rPr>
          <w:sz w:val="22"/>
        </w:rPr>
      </w:pPr>
      <w:r>
        <w:rPr>
          <w:sz w:val="22"/>
        </w:rPr>
      </w:r>
    </w:p>
    <w:p>
      <w:pPr>
        <w:pStyle w:val="Normal"/>
        <w:ind w:hanging="1800" w:start="2160" w:end="0"/>
        <w:rPr>
          <w:sz w:val="22"/>
        </w:rPr>
      </w:pPr>
      <w:r>
        <w:rPr>
          <w:sz w:val="22"/>
        </w:rPr>
        <w:t>1/21/00</w:t>
        <w:tab/>
        <w:t>Draft Interim Report submitted for review by UBP Advisory Committee; due date for participant comments on progress draft documents</w:t>
      </w:r>
    </w:p>
    <w:p>
      <w:pPr>
        <w:pStyle w:val="Normal"/>
        <w:ind w:hanging="1800" w:start="2160" w:end="0"/>
        <w:rPr>
          <w:sz w:val="22"/>
        </w:rPr>
      </w:pPr>
      <w:r>
        <w:rPr>
          <w:sz w:val="22"/>
        </w:rPr>
      </w:r>
    </w:p>
    <w:p>
      <w:pPr>
        <w:pStyle w:val="Normal"/>
        <w:ind w:hanging="1800" w:start="2160" w:end="0"/>
        <w:rPr>
          <w:sz w:val="22"/>
        </w:rPr>
      </w:pPr>
      <w:r>
        <w:rPr>
          <w:sz w:val="22"/>
        </w:rPr>
        <w:t>1/28/00</w:t>
        <w:tab/>
        <w:t>Draft Interim Report distributed via list server to process participants only (not to be posted to Web site for general access at this time); recommended guidelines for review of draft may be included by the UBP Advisory Committee, if desired.</w:t>
      </w:r>
    </w:p>
    <w:p>
      <w:pPr>
        <w:pStyle w:val="Normal"/>
        <w:ind w:hanging="1800" w:start="2160" w:end="0"/>
        <w:rPr>
          <w:sz w:val="22"/>
        </w:rPr>
      </w:pPr>
      <w:r>
        <w:rPr>
          <w:sz w:val="22"/>
        </w:rPr>
      </w:r>
    </w:p>
    <w:p>
      <w:pPr>
        <w:pStyle w:val="Normal"/>
        <w:ind w:hanging="1800" w:start="2160" w:end="0"/>
        <w:rPr>
          <w:sz w:val="22"/>
        </w:rPr>
      </w:pPr>
      <w:r>
        <w:rPr>
          <w:sz w:val="22"/>
        </w:rPr>
        <w:t>2/9/00-</w:t>
        <w:tab/>
        <w:t xml:space="preserve">Complete final UBP 1999 workshop to receive feedback/discuss draft  </w:t>
      </w:r>
    </w:p>
    <w:p>
      <w:pPr>
        <w:pStyle w:val="Normal"/>
        <w:ind w:hanging="1800" w:start="2160" w:end="0"/>
        <w:rPr>
          <w:sz w:val="22"/>
        </w:rPr>
      </w:pPr>
      <w:r>
        <w:rPr>
          <w:sz w:val="22"/>
        </w:rPr>
        <w:t xml:space="preserve">2/10/00 </w:t>
        <w:tab/>
        <w:t xml:space="preserve">on Interim Report; existing topical documents to remain open as progress drafts </w:t>
      </w:r>
    </w:p>
    <w:p>
      <w:pPr>
        <w:pStyle w:val="Normal"/>
        <w:ind w:hanging="1800" w:start="2160" w:end="0"/>
        <w:rPr>
          <w:sz w:val="22"/>
        </w:rPr>
      </w:pPr>
      <w:r>
        <w:rPr>
          <w:sz w:val="22"/>
        </w:rPr>
      </w:r>
    </w:p>
    <w:p>
      <w:pPr>
        <w:pStyle w:val="Normal"/>
        <w:ind w:hanging="1800" w:start="2160" w:end="0"/>
        <w:rPr>
          <w:sz w:val="22"/>
        </w:rPr>
      </w:pPr>
      <w:r>
        <w:rPr>
          <w:sz w:val="22"/>
        </w:rPr>
        <w:t>2/15/00</w:t>
        <w:tab/>
        <w:t>Target release date for Interim Report to non-participants</w:t>
      </w:r>
    </w:p>
    <w:p>
      <w:pPr>
        <w:pStyle w:val="Normal"/>
        <w:ind w:hanging="1800" w:start="2160" w:end="0"/>
        <w:rPr>
          <w:sz w:val="22"/>
        </w:rPr>
      </w:pPr>
      <w:r>
        <w:rPr>
          <w:sz w:val="22"/>
        </w:rPr>
      </w:r>
    </w:p>
    <w:p>
      <w:pPr>
        <w:pStyle w:val="Normal"/>
        <w:ind w:start="360" w:end="0"/>
        <w:rPr>
          <w:sz w:val="22"/>
        </w:rPr>
      </w:pPr>
      <w:r>
        <w:rPr>
          <w:sz w:val="22"/>
        </w:rPr>
        <w:t>2/15/00-</w:t>
        <w:tab/>
        <w:tab/>
        <w:t xml:space="preserve">Open comment period for regulatory and consumer input through </w:t>
      </w:r>
    </w:p>
    <w:p>
      <w:pPr>
        <w:pStyle w:val="Normal"/>
        <w:ind w:hanging="1800" w:start="2160" w:end="0"/>
        <w:rPr/>
      </w:pPr>
      <w:r>
        <w:rPr>
          <w:sz w:val="22"/>
        </w:rPr>
        <w:t>4/30/00</w:t>
        <w:tab/>
        <w:t>April 30</w:t>
      </w:r>
      <w:r>
        <w:rPr>
          <w:sz w:val="22"/>
          <w:vertAlign w:val="superscript"/>
        </w:rPr>
        <w:t>th</w:t>
      </w:r>
      <w:r>
        <w:rPr>
          <w:sz w:val="22"/>
        </w:rPr>
        <w:t>; enhanced interaction (using consistently scripted presentation materials) between UBP process participants, NARUC committees, and consumer associations as required.</w:t>
      </w:r>
    </w:p>
    <w:p>
      <w:pPr>
        <w:pStyle w:val="Normal"/>
        <w:ind w:hanging="1800" w:start="2160" w:end="0"/>
        <w:rPr>
          <w:sz w:val="22"/>
        </w:rPr>
      </w:pPr>
      <w:r>
        <w:rPr>
          <w:sz w:val="22"/>
        </w:rPr>
      </w:r>
    </w:p>
    <w:p>
      <w:pPr>
        <w:pStyle w:val="Normal"/>
        <w:ind w:hanging="1800" w:start="2160" w:end="0"/>
        <w:rPr>
          <w:sz w:val="22"/>
        </w:rPr>
      </w:pPr>
      <w:r>
        <w:rPr>
          <w:sz w:val="22"/>
        </w:rPr>
      </w:r>
    </w:p>
    <w:p>
      <w:pPr>
        <w:pStyle w:val="Normal"/>
        <w:ind w:hanging="1800" w:start="2160" w:end="0"/>
        <w:rPr>
          <w:sz w:val="22"/>
        </w:rPr>
      </w:pPr>
      <w:r>
        <w:rPr>
          <w:sz w:val="22"/>
        </w:rPr>
      </w:r>
      <w:r>
        <w:br w:type="page"/>
      </w:r>
    </w:p>
    <w:p>
      <w:pPr>
        <w:pStyle w:val="Normal"/>
        <w:ind w:hanging="1800" w:start="2160" w:end="0"/>
        <w:jc w:val="center"/>
        <w:rPr>
          <w:b/>
          <w:sz w:val="28"/>
        </w:rPr>
      </w:pPr>
      <w:r>
        <w:rPr>
          <w:b/>
          <w:sz w:val="28"/>
        </w:rPr>
        <w:t>Achievements to Date*</w:t>
      </w:r>
    </w:p>
    <w:p>
      <w:pPr>
        <w:pStyle w:val="Normal"/>
        <w:ind w:hanging="1800" w:start="2160" w:end="0"/>
        <w:jc w:val="center"/>
        <w:rPr>
          <w:sz w:val="24"/>
        </w:rPr>
      </w:pPr>
      <w:r>
        <w:rPr>
          <w:sz w:val="24"/>
        </w:rPr>
        <w:t>(*For internal UBP reference only; not for inclusion in press announcement)</w:t>
      </w:r>
    </w:p>
    <w:p>
      <w:pPr>
        <w:pStyle w:val="Normal"/>
        <w:ind w:hanging="1800" w:start="2160" w:end="0"/>
        <w:jc w:val="center"/>
        <w:rPr>
          <w:sz w:val="24"/>
        </w:rPr>
      </w:pPr>
      <w:r>
        <w:rPr>
          <w:sz w:val="24"/>
        </w:rPr>
      </w:r>
    </w:p>
    <w:p>
      <w:pPr>
        <w:pStyle w:val="Normal"/>
        <w:numPr>
          <w:ilvl w:val="0"/>
          <w:numId w:val="1"/>
        </w:numPr>
        <w:rPr>
          <w:sz w:val="24"/>
        </w:rPr>
      </w:pPr>
      <w:r>
        <w:rPr>
          <w:sz w:val="24"/>
        </w:rPr>
        <w:t>Initial discussions have been undertaken in a significant number of the areas identified by the structure setting group which convened at the project outset in Boston</w:t>
        <w:br/>
      </w:r>
    </w:p>
    <w:p>
      <w:pPr>
        <w:pStyle w:val="Normal"/>
        <w:numPr>
          <w:ilvl w:val="0"/>
          <w:numId w:val="1"/>
        </w:numPr>
        <w:rPr>
          <w:sz w:val="24"/>
        </w:rPr>
      </w:pPr>
      <w:r>
        <w:rPr>
          <w:sz w:val="24"/>
        </w:rPr>
        <w:t>Group has tangible progress to show in spite of the compressed time frame for 1999 meetings - evolving consensus documents are, or will shortly be, available on four of five highest priority topics initially established</w:t>
        <w:br/>
      </w:r>
    </w:p>
    <w:p>
      <w:pPr>
        <w:pStyle w:val="Normal"/>
        <w:numPr>
          <w:ilvl w:val="0"/>
          <w:numId w:val="1"/>
        </w:numPr>
        <w:rPr>
          <w:sz w:val="24"/>
        </w:rPr>
      </w:pPr>
      <w:r>
        <w:rPr>
          <w:sz w:val="24"/>
        </w:rPr>
        <w:t>There is agreement that the Metering topic, because of its highly technical nature, should be parallel tracked with continuation phase in 2000 and a preliminary plan is in place to commence this consensus building effort</w:t>
        <w:br/>
      </w:r>
    </w:p>
    <w:p>
      <w:pPr>
        <w:pStyle w:val="Normal"/>
        <w:numPr>
          <w:ilvl w:val="0"/>
          <w:numId w:val="1"/>
        </w:numPr>
        <w:rPr>
          <w:sz w:val="24"/>
        </w:rPr>
      </w:pPr>
      <w:r>
        <w:rPr>
          <w:sz w:val="24"/>
        </w:rPr>
        <w:t>Relationships have been created between participants which are constructive and open (many prior discussions on these topics have been guarded and adversarial); discussions have been frank, thoughtful and respectful.</w:t>
        <w:br/>
      </w:r>
    </w:p>
    <w:p>
      <w:pPr>
        <w:pStyle w:val="Normal"/>
        <w:numPr>
          <w:ilvl w:val="0"/>
          <w:numId w:val="1"/>
        </w:numPr>
        <w:rPr>
          <w:sz w:val="24"/>
        </w:rPr>
      </w:pPr>
      <w:r>
        <w:rPr>
          <w:sz w:val="24"/>
        </w:rPr>
        <w:t>The electronic communication network for maintaining control over documents in progress and exchanging ideas is established and in use (UBP Web site and list server; list server has approximately 350 subscribers and growing).</w:t>
        <w:br/>
      </w:r>
    </w:p>
    <w:p>
      <w:pPr>
        <w:pStyle w:val="Normal"/>
        <w:numPr>
          <w:ilvl w:val="0"/>
          <w:numId w:val="1"/>
        </w:numPr>
        <w:rPr>
          <w:sz w:val="24"/>
        </w:rPr>
      </w:pPr>
      <w:r>
        <w:rPr>
          <w:sz w:val="24"/>
        </w:rPr>
        <w:t>Process has expanded its sphere of influence through outreach to a wide array of important interests, including consumer groups and the regulatory community</w:t>
        <w:br/>
      </w:r>
    </w:p>
    <w:p>
      <w:pPr>
        <w:pStyle w:val="Normal"/>
        <w:numPr>
          <w:ilvl w:val="0"/>
          <w:numId w:val="1"/>
        </w:numPr>
        <w:rPr>
          <w:sz w:val="24"/>
        </w:rPr>
      </w:pPr>
      <w:r>
        <w:rPr>
          <w:sz w:val="24"/>
        </w:rPr>
        <w:t>Numerous, positive points of preliminary consensus have been reached, subject to confirmation:</w:t>
      </w:r>
    </w:p>
    <w:p>
      <w:pPr>
        <w:pStyle w:val="Normal"/>
        <w:rPr>
          <w:sz w:val="24"/>
        </w:rPr>
      </w:pPr>
      <w:r>
        <w:rPr>
          <w:sz w:val="24"/>
        </w:rPr>
      </w:r>
    </w:p>
    <w:p>
      <w:pPr>
        <w:pStyle w:val="Normal"/>
        <w:rPr>
          <w:sz w:val="24"/>
        </w:rPr>
      </w:pPr>
      <w:r>
        <w:rPr>
          <w:sz w:val="24"/>
        </w:rPr>
      </w:r>
    </w:p>
    <w:p>
      <w:pPr>
        <w:pStyle w:val="Normal"/>
        <w:numPr>
          <w:ilvl w:val="0"/>
          <w:numId w:val="3"/>
        </w:numPr>
        <w:tabs>
          <w:tab w:val="clear" w:pos="720"/>
          <w:tab w:val="left" w:pos="1080" w:leader="none"/>
        </w:tabs>
        <w:ind w:hanging="360" w:start="1080" w:end="0"/>
        <w:rPr>
          <w:sz w:val="24"/>
        </w:rPr>
      </w:pPr>
      <w:r>
        <w:rPr>
          <w:b/>
          <w:sz w:val="24"/>
          <w:u w:val="single"/>
        </w:rPr>
        <w:t>Overarching</w:t>
      </w:r>
      <w:r>
        <w:rPr>
          <w:b/>
          <w:sz w:val="24"/>
        </w:rPr>
        <w:t>:</w:t>
      </w:r>
      <w:r>
        <w:rPr>
          <w:sz w:val="24"/>
        </w:rPr>
        <w:t xml:space="preserve">  Utilities should be considered for net incremental cost recovery for implementing best practices identified during the consensus building process; costs and benefits to all parties should be carefully considered by regulatory commissions during rule makings.</w:t>
      </w:r>
    </w:p>
    <w:p>
      <w:pPr>
        <w:pStyle w:val="Normal"/>
        <w:tabs>
          <w:tab w:val="left" w:pos="720" w:leader="none"/>
        </w:tabs>
        <w:ind w:start="1080" w:end="0"/>
        <w:rPr>
          <w:sz w:val="24"/>
        </w:rPr>
      </w:pPr>
      <w:r>
        <w:rPr>
          <w:sz w:val="24"/>
        </w:rPr>
      </w:r>
    </w:p>
    <w:p>
      <w:pPr>
        <w:pStyle w:val="Normal"/>
        <w:numPr>
          <w:ilvl w:val="0"/>
          <w:numId w:val="3"/>
        </w:numPr>
        <w:tabs>
          <w:tab w:val="clear" w:pos="720"/>
          <w:tab w:val="left" w:pos="1080" w:leader="none"/>
        </w:tabs>
        <w:ind w:hanging="360" w:start="1080" w:end="0"/>
        <w:rPr>
          <w:sz w:val="24"/>
        </w:rPr>
      </w:pPr>
      <w:r>
        <w:rPr>
          <w:b/>
          <w:sz w:val="24"/>
          <w:u w:val="single"/>
        </w:rPr>
        <w:t>Enrollment and Switching</w:t>
      </w:r>
      <w:r>
        <w:rPr>
          <w:b/>
          <w:sz w:val="24"/>
        </w:rPr>
        <w:t>:</w:t>
      </w:r>
      <w:r>
        <w:rPr>
          <w:sz w:val="24"/>
        </w:rPr>
        <w:t xml:space="preserve">  Switching should generally occur on the customer's meter read date; enrollment should be a fully electronic process. </w:t>
      </w:r>
      <w:r>
        <w:br w:type="page"/>
      </w:r>
    </w:p>
    <w:p>
      <w:pPr>
        <w:pStyle w:val="Normal"/>
        <w:rPr>
          <w:sz w:val="24"/>
          <w:u w:val="single"/>
        </w:rPr>
      </w:pPr>
      <w:r>
        <w:rPr>
          <w:sz w:val="24"/>
          <w:u w:val="single"/>
        </w:rPr>
      </w:r>
    </w:p>
    <w:p>
      <w:pPr>
        <w:pStyle w:val="Normal"/>
        <w:numPr>
          <w:ilvl w:val="0"/>
          <w:numId w:val="4"/>
        </w:numPr>
        <w:tabs>
          <w:tab w:val="clear" w:pos="720"/>
          <w:tab w:val="left" w:pos="1080" w:leader="none"/>
        </w:tabs>
        <w:ind w:hanging="360" w:start="1080" w:end="0"/>
        <w:rPr>
          <w:sz w:val="24"/>
        </w:rPr>
      </w:pPr>
      <w:r>
        <w:rPr>
          <w:b/>
          <w:sz w:val="24"/>
          <w:u w:val="single"/>
        </w:rPr>
        <w:t>Customer Information</w:t>
      </w:r>
      <w:r>
        <w:rPr>
          <w:b/>
          <w:sz w:val="24"/>
        </w:rPr>
        <w:t>:</w:t>
      </w:r>
      <w:r>
        <w:rPr>
          <w:sz w:val="24"/>
        </w:rPr>
        <w:t xml:space="preserve">  Standardized data elements for information requests have been specified; a clear statement of pre-enrollment, enrollment, and post-enrollment information practices is in draft form; the Internet is widely accepted as the most efficient means for properly authorized market stakeholders to obtain access to bulk information which enables the market.</w:t>
      </w:r>
    </w:p>
    <w:p>
      <w:pPr>
        <w:pStyle w:val="Normal"/>
        <w:tabs>
          <w:tab w:val="left" w:pos="720" w:leader="none"/>
        </w:tabs>
        <w:ind w:start="1080" w:end="0"/>
        <w:rPr>
          <w:sz w:val="24"/>
        </w:rPr>
      </w:pPr>
      <w:r>
        <w:rPr>
          <w:sz w:val="24"/>
        </w:rPr>
      </w:r>
    </w:p>
    <w:p>
      <w:pPr>
        <w:pStyle w:val="Normal"/>
        <w:numPr>
          <w:ilvl w:val="0"/>
          <w:numId w:val="4"/>
        </w:numPr>
        <w:tabs>
          <w:tab w:val="clear" w:pos="720"/>
          <w:tab w:val="left" w:pos="1080" w:leader="none"/>
        </w:tabs>
        <w:ind w:hanging="360" w:start="1080" w:end="0"/>
        <w:rPr>
          <w:i/>
          <w:i/>
          <w:sz w:val="24"/>
        </w:rPr>
      </w:pPr>
      <w:r>
        <w:rPr>
          <w:b/>
          <w:sz w:val="24"/>
          <w:u w:val="single"/>
        </w:rPr>
        <w:t>Customer Billing</w:t>
      </w:r>
      <w:r>
        <w:rPr>
          <w:sz w:val="24"/>
        </w:rPr>
        <w:t>:  "Bill-ready" is the best practice approach for consolidated billing; minimum, standardized data elements on a bill are in the process of being specified; Suppliers should have wide latitude to negotiate with their large C&amp;I customers the specific elements and content of billing statements.</w:t>
      </w:r>
    </w:p>
    <w:p>
      <w:pPr>
        <w:pStyle w:val="Normal"/>
        <w:rPr>
          <w:b/>
          <w:i/>
          <w:i/>
          <w:sz w:val="24"/>
          <w:u w:val="single"/>
        </w:rPr>
      </w:pPr>
      <w:r>
        <w:rPr>
          <w:b/>
          <w:i/>
          <w:sz w:val="24"/>
          <w:u w:val="single"/>
        </w:rPr>
      </w:r>
    </w:p>
    <w:p>
      <w:pPr>
        <w:pStyle w:val="Normal"/>
        <w:numPr>
          <w:ilvl w:val="0"/>
          <w:numId w:val="4"/>
        </w:numPr>
        <w:tabs>
          <w:tab w:val="clear" w:pos="720"/>
          <w:tab w:val="left" w:pos="1080" w:leader="none"/>
        </w:tabs>
        <w:ind w:hanging="360" w:start="1080" w:end="0"/>
        <w:rPr>
          <w:sz w:val="24"/>
        </w:rPr>
      </w:pPr>
      <w:r>
        <w:rPr>
          <w:b/>
          <w:sz w:val="24"/>
          <w:u w:val="single"/>
        </w:rPr>
        <w:t>Load Profiling</w:t>
      </w:r>
      <w:r>
        <w:rPr>
          <w:sz w:val="24"/>
        </w:rPr>
        <w:t xml:space="preserve">:  The profiling methodology adopted (e.g., proxy day, dynamic modeling, dynamic profiling) should balance the need for accuracy, cost-effectiveness for the market, predictability, technical innovation, lead time to implement, demonstrated need for market data, and sample bias.   </w:t>
      </w:r>
    </w:p>
    <w:p>
      <w:pPr>
        <w:pStyle w:val="Normal"/>
        <w:ind w:start="360" w:end="0"/>
        <w:rPr>
          <w:sz w:val="24"/>
        </w:rPr>
      </w:pPr>
      <w:r>
        <w:rPr>
          <w:sz w:val="24"/>
        </w:rPr>
      </w:r>
    </w:p>
    <w:p>
      <w:pPr>
        <w:pStyle w:val="Normal"/>
        <w:ind w:start="360" w:end="0"/>
        <w:rPr>
          <w:sz w:val="28"/>
        </w:rPr>
      </w:pPr>
      <w:r>
        <w:rPr>
          <w:sz w:val="28"/>
        </w:rPr>
      </w:r>
    </w:p>
    <w:p>
      <w:pPr>
        <w:pStyle w:val="Normal"/>
        <w:ind w:start="360" w:end="0"/>
        <w:jc w:val="center"/>
        <w:rPr>
          <w:b/>
          <w:sz w:val="28"/>
        </w:rPr>
      </w:pPr>
      <w:r>
        <w:rPr>
          <w:b/>
          <w:sz w:val="28"/>
        </w:rPr>
        <w:t>Recognized Challenges</w:t>
      </w:r>
    </w:p>
    <w:p>
      <w:pPr>
        <w:pStyle w:val="Normal"/>
        <w:ind w:start="360" w:end="0"/>
        <w:jc w:val="center"/>
        <w:rPr>
          <w:b/>
          <w:i/>
          <w:i/>
          <w:sz w:val="24"/>
        </w:rPr>
      </w:pPr>
      <w:r>
        <w:rPr>
          <w:b/>
          <w:i/>
          <w:sz w:val="24"/>
        </w:rPr>
        <w:t>(Preliminary ideas only; not yet reviewed by Advisory Committee or main group)</w:t>
      </w:r>
    </w:p>
    <w:p>
      <w:pPr>
        <w:pStyle w:val="Normal"/>
        <w:ind w:start="360" w:end="0"/>
        <w:rPr>
          <w:b/>
          <w:i/>
          <w:i/>
          <w:sz w:val="24"/>
        </w:rPr>
      </w:pPr>
      <w:r>
        <w:rPr>
          <w:b/>
          <w:i/>
          <w:sz w:val="24"/>
        </w:rPr>
      </w:r>
    </w:p>
    <w:p>
      <w:pPr>
        <w:pStyle w:val="Normal"/>
        <w:numPr>
          <w:ilvl w:val="0"/>
          <w:numId w:val="5"/>
        </w:numPr>
        <w:tabs>
          <w:tab w:val="left" w:pos="720" w:leader="none"/>
        </w:tabs>
        <w:ind w:hanging="360" w:start="720" w:end="0"/>
        <w:rPr>
          <w:sz w:val="24"/>
        </w:rPr>
      </w:pPr>
      <w:r>
        <w:rPr>
          <w:sz w:val="24"/>
        </w:rPr>
        <w:t>Early discussions of the participant group, initially comprised mainly of utilities and retailers, have highlighted the need for direct input by regulatory authorities and consumer interests which were under-represented;  increased efforts need to be made to gain the insights of these and other groups as the process moves forward.</w:t>
        <w:br/>
      </w:r>
    </w:p>
    <w:p>
      <w:pPr>
        <w:pStyle w:val="Normal"/>
        <w:numPr>
          <w:ilvl w:val="0"/>
          <w:numId w:val="5"/>
        </w:numPr>
        <w:tabs>
          <w:tab w:val="left" w:pos="720" w:leader="none"/>
        </w:tabs>
        <w:ind w:hanging="360" w:start="720" w:end="0"/>
        <w:rPr>
          <w:sz w:val="24"/>
        </w:rPr>
      </w:pPr>
      <w:r>
        <w:rPr>
          <w:sz w:val="24"/>
        </w:rPr>
        <w:t>The period of several years during which the transition to the competitive market will take place presents particular challenges, and regulatory authorities will have to balance the market interests of consumers against the incremental costs of providing enhanced support for the market start-up, as well as the appropriateness of doing so.  Such policy outcomes are a fundamental prerequisite to uniform business practices which can be widely adopted.</w:t>
        <w:br/>
      </w:r>
    </w:p>
    <w:p>
      <w:pPr>
        <w:pStyle w:val="Normal"/>
        <w:numPr>
          <w:ilvl w:val="0"/>
          <w:numId w:val="5"/>
        </w:numPr>
        <w:tabs>
          <w:tab w:val="left" w:pos="720" w:leader="none"/>
        </w:tabs>
        <w:ind w:hanging="360" w:start="720" w:end="0"/>
        <w:rPr>
          <w:sz w:val="24"/>
        </w:rPr>
      </w:pPr>
      <w:r>
        <w:rPr>
          <w:sz w:val="24"/>
        </w:rPr>
        <w:t>The multiplicity of state-by-state approaches, and correspondingly strong biases held by many participants, initially presented a major stumbling block to the process of identifying and recommending uniform business practices.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12/13/99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5"/>
      <w:numFmt w:val="bullet"/>
      <w:lvlText w:val="-"/>
      <w:lvlJc w:val="start"/>
      <w:pPr>
        <w:tabs>
          <w:tab w:val="num" w:pos="2880"/>
        </w:tabs>
        <w:ind w:start="2880" w:hanging="72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sz w:val="16"/>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1999-12-03T17:56:00Z</dcterms:created>
  <dc:creator>Eric P.Cody</dc:creator>
  <dc:description/>
  <dc:language>en-CA</dc:language>
  <cp:lastModifiedBy>Jeffrey Brown</cp:lastModifiedBy>
  <cp:lastPrinted>1999-12-06T10:44:00Z</cp:lastPrinted>
  <dcterms:modified xsi:type="dcterms:W3CDTF">1999-12-17T13:35:00Z</dcterms:modified>
  <cp:revision>18</cp:revision>
  <dc:subject/>
  <dc:title>Consensus Building Process for Uniform Business Practices</dc:title>
</cp:coreProperties>
</file>