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SDG&amp;E Advice Letter Summary</w:t>
      </w:r>
    </w:p>
    <w:p>
      <w:pPr>
        <w:pStyle w:val="Body"/>
        <w:widowControl/>
        <w:ind w:hanging="0" w:end="0"/>
        <w:jc w:val="center"/>
        <w:rPr>
          <w:b/>
          <w:bCs/>
          <w:u w:val="single"/>
        </w:rPr>
      </w:pPr>
      <w:r>
        <w:rPr>
          <w:b/>
          <w:bCs/>
          <w:u w:val="single"/>
        </w:rPr>
        <w:t>December 13, 2000</w:t>
      </w:r>
    </w:p>
    <w:p>
      <w:pPr>
        <w:pStyle w:val="Body"/>
        <w:widowControl/>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1276-E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12/12/00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1/1/01</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bCs/>
              </w:rPr>
            </w:pPr>
            <w:r>
              <w:rPr>
                <w:b/>
                <w:bCs/>
              </w:rPr>
              <w:t xml:space="preserve">Analysis:  </w:t>
            </w:r>
          </w:p>
          <w:p>
            <w:pPr>
              <w:pStyle w:val="Normal"/>
              <w:widowControl/>
              <w:tabs>
                <w:tab w:val="clear" w:pos="720"/>
                <w:tab w:val="left" w:pos="9180" w:leader="none"/>
              </w:tabs>
              <w:jc w:val="both"/>
              <w:rPr/>
            </w:pPr>
            <w:r>
              <w:rPr/>
              <w:t>This advice letter filing proposes revisions to SDG&amp;E’s voluntary rate stabilization plan, in accordance with D.00-12-033.  This decision approved the utility’s voluntary program for large commercial, industrial and agricultural customers.  The major change is to have the open window extend through January 31, rather than December 31, with customers beginning on the new program in 2/01.  The advice letter provides sample customer communications, a sample bill and a standardized contract.  It also provides a revision to the Preliminary Statement to include the new Memorandum Account associated with the program.</w:t>
            </w:r>
          </w:p>
          <w:p>
            <w:pPr>
              <w:pStyle w:val="Normal"/>
              <w:widowControl/>
              <w:tabs>
                <w:tab w:val="clear" w:pos="720"/>
                <w:tab w:val="left" w:pos="9180" w:leader="none"/>
              </w:tabs>
              <w:jc w:val="both"/>
              <w:rPr/>
            </w:pPr>
            <w:r>
              <w:rPr/>
            </w:r>
          </w:p>
          <w:p>
            <w:pPr>
              <w:pStyle w:val="Normal"/>
              <w:widowControl/>
              <w:tabs>
                <w:tab w:val="clear" w:pos="720"/>
                <w:tab w:val="left" w:pos="9180" w:leader="none"/>
              </w:tabs>
              <w:jc w:val="both"/>
              <w:rPr/>
            </w:pPr>
            <w:r>
              <w:rPr/>
              <w:t xml:space="preserve">Note that direct access customers with a peak load equal to or greater than 100kW are </w:t>
            </w:r>
            <w:r>
              <w:rPr>
                <w:u w:val="single"/>
              </w:rPr>
              <w:t>not</w:t>
            </w:r>
            <w:r>
              <w:rPr/>
              <w:t xml:space="preserve"> eligible for the program.  Since residential and small commercial customers are eligible, it’s not clear why this distinction is being drawn, unless it is assumed that large customers have the sophistication to work out their own arrangements for price stability.</w:t>
            </w:r>
          </w:p>
          <w:p>
            <w:pPr>
              <w:pStyle w:val="Normal"/>
              <w:widowControl/>
              <w:tabs>
                <w:tab w:val="clear" w:pos="720"/>
                <w:tab w:val="left" w:pos="9180" w:leader="none"/>
              </w:tabs>
              <w:jc w:val="both"/>
              <w:rPr/>
            </w:pPr>
            <w:r>
              <w:rPr/>
            </w:r>
          </w:p>
        </w:tc>
      </w:tr>
    </w:tbl>
    <w:p>
      <w:pPr>
        <w:pStyle w:val="Body"/>
        <w:widowControl/>
        <w:spacing w:before="0" w:after="0"/>
        <w:ind w:hanging="0" w:end="0"/>
        <w:jc w:val="center"/>
        <w:rPr/>
      </w:pPr>
      <w:r>
        <w:rPr/>
      </w:r>
    </w:p>
    <w:tbl>
      <w:tblPr>
        <w:tblW w:w="15336" w:type="dxa"/>
        <w:jc w:val="start"/>
        <w:tblInd w:w="0" w:type="dxa"/>
        <w:tblLayout w:type="fixed"/>
        <w:tblCellMar>
          <w:top w:w="0" w:type="dxa"/>
          <w:start w:w="108" w:type="dxa"/>
          <w:bottom w:w="0" w:type="dxa"/>
          <w:end w:w="108" w:type="dxa"/>
        </w:tblCellMar>
      </w:tblPr>
      <w:tblGrid>
        <w:gridCol w:w="1368"/>
        <w:gridCol w:w="1490"/>
        <w:gridCol w:w="1565"/>
        <w:gridCol w:w="1684"/>
        <w:gridCol w:w="3469"/>
        <w:gridCol w:w="1440"/>
        <w:gridCol w:w="1440"/>
        <w:gridCol w:w="1440"/>
        <w:gridCol w:w="1440"/>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Recommendation</w:t>
            </w:r>
          </w:p>
        </w:tc>
        <w:tc>
          <w:tcPr>
            <w:tcW w:w="5760"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1277-E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12/12/00</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1/1/01</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bCs/>
              </w:rPr>
            </w:pPr>
            <w:r>
              <w:rPr>
                <w:b/>
                <w:bCs/>
              </w:rPr>
              <w:t>Ignore</w:t>
            </w:r>
          </w:p>
        </w:tc>
        <w:tc>
          <w:tcPr>
            <w:tcW w:w="5760" w:type="dxa"/>
            <w:gridSpan w:val="4"/>
            <w:tcBorders/>
            <w:tcMar>
              <w:start w:w="0" w:type="dxa"/>
              <w:end w:w="0" w:type="dxa"/>
            </w:tcMar>
          </w:tcPr>
          <w:p>
            <w:pPr>
              <w:pStyle w:val="Normal"/>
              <w:snapToGrid w:val="false"/>
              <w:rPr/>
            </w:pPr>
            <w:r>
              <w:rPr/>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bCs/>
              </w:rPr>
            </w:pPr>
            <w:r>
              <w:rPr>
                <w:b/>
                <w:bCs/>
              </w:rPr>
              <w:t xml:space="preserve">Analysis:  </w:t>
            </w:r>
          </w:p>
          <w:p>
            <w:pPr>
              <w:pStyle w:val="Normal"/>
              <w:widowControl/>
              <w:jc w:val="both"/>
              <w:rPr/>
            </w:pPr>
            <w:r>
              <w:rPr/>
              <w:t>This advice letter filing submits notice of the annual true-up to the SDG&amp;E Fixed Transition Amount charges and established revised FTA charges effective 1/1/01 for residential and affected small commercial customers.  In accordance with D.97-09-057, no Commission resolution is required.</w:t>
            </w:r>
          </w:p>
          <w:p>
            <w:pPr>
              <w:pStyle w:val="Normal"/>
              <w:widowControl/>
              <w:tabs>
                <w:tab w:val="clear" w:pos="720"/>
                <w:tab w:val="left" w:pos="9180" w:leader="none"/>
              </w:tabs>
              <w:ind w:start="720" w:end="0"/>
              <w:jc w:val="both"/>
              <w:rPr/>
            </w:pPr>
            <w:r>
              <w:rPr/>
            </w:r>
          </w:p>
        </w:tc>
        <w:tc>
          <w:tcPr>
            <w:tcW w:w="1440" w:type="dxa"/>
            <w:tcBorders>
              <w:top w:val="dashed" w:sz="6" w:space="0" w:color="auto"/>
              <w:start w:val="single" w:sz="6" w:space="0" w:color="000000"/>
              <w:bottom w:val="dashed" w:sz="6" w:space="0" w:color="auto"/>
              <w:end w:val="single" w:sz="6" w:space="0" w:color="000000"/>
            </w:tcBorders>
          </w:tcPr>
          <w:p>
            <w:pPr>
              <w:pStyle w:val="Norma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4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Strong">
    <w:name w:val="Strong"/>
    <w:qFormat/>
    <w:rPr>
      <w:b/>
      <w:bCs/>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2000-12-13T19:45:00Z</dcterms:created>
  <dc:creator>Arter &amp; Hadden</dc:creator>
  <dc:description/>
  <dc:language>en-CA</dc:language>
  <cp:lastModifiedBy>Arter &amp; Hadden</cp:lastModifiedBy>
  <cp:lastPrinted>2000-12-13T14:37:00Z</cp:lastPrinted>
  <dcterms:modified xsi:type="dcterms:W3CDTF">2000-12-13T20:07:00Z</dcterms:modified>
  <cp:revision>4</cp:revision>
  <dc:subject/>
  <dc:title>A</dc:title>
</cp:coreProperties>
</file>