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UNITED STATES OF AMERICA</w:t>
      </w:r>
    </w:p>
    <w:p>
      <w:pPr>
        <w:pStyle w:val="Normal"/>
        <w:widowControl/>
        <w:jc w:val="center"/>
        <w:rPr>
          <w:rFonts w:ascii="Times New Roman" w:hAnsi="Times New Roman" w:eastAsia="Times New Roman" w:cs="Times New Roman"/>
          <w:b/>
          <w:bCs/>
        </w:rPr>
      </w:pPr>
      <w:r>
        <w:rPr>
          <w:rFonts w:eastAsia="Times New Roman" w:cs="Times New Roman" w:ascii="Times New Roman" w:hAnsi="Times New Roman"/>
          <w:b/>
          <w:bCs/>
        </w:rPr>
        <w:t>BEFORE THE</w:t>
      </w:r>
    </w:p>
    <w:p>
      <w:pPr>
        <w:pStyle w:val="Heading2"/>
        <w:widowControl/>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FEDERAL ENERGY REGULATORY COMMISSION</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20"/>
          <w:tab w:val="center" w:pos="5400" w:leader="none"/>
          <w:tab w:val="right" w:pos="9180" w:leader="none"/>
        </w:tabs>
        <w:jc w:val="both"/>
        <w:rPr>
          <w:rFonts w:ascii="Times New Roman" w:hAnsi="Times New Roman" w:eastAsia="Times New Roman" w:cs="Times New Roman"/>
          <w:smallCaps/>
        </w:rPr>
      </w:pPr>
      <w:r>
        <w:rPr>
          <w:rFonts w:eastAsia="Times New Roman" w:cs="Times New Roman" w:ascii="Times New Roman" w:hAnsi="Times New Roman"/>
          <w:smallCaps/>
        </w:rPr>
        <w:t>____________________________________</w:t>
      </w:r>
    </w:p>
    <w:p>
      <w:pPr>
        <w:pStyle w:val="Normal"/>
        <w:widowControl/>
        <w:tabs>
          <w:tab w:val="clear" w:pos="720"/>
          <w:tab w:val="left" w:pos="4320" w:leader="none"/>
          <w:tab w:val="center" w:pos="5400" w:leader="none"/>
          <w:tab w:val="right" w:pos="9180" w:leader="none"/>
        </w:tabs>
        <w:jc w:val="both"/>
        <w:rPr>
          <w:rFonts w:ascii="Times New Roman" w:hAnsi="Times New Roman" w:eastAsia="Times New Roman" w:cs="Times New Roman"/>
          <w:smallCaps/>
        </w:rPr>
      </w:pPr>
      <w:r>
        <w:rPr>
          <w:rFonts w:eastAsia="Times New Roman" w:cs="Times New Roman" w:ascii="Times New Roman" w:hAnsi="Times New Roman"/>
          <w:smallCaps/>
        </w:rPr>
        <w:tab/>
        <w:t>)</w:t>
        <w:tab/>
        <w:tab/>
        <w:tab/>
      </w:r>
    </w:p>
    <w:p>
      <w:pPr>
        <w:pStyle w:val="Normal"/>
        <w:widowControl/>
        <w:tabs>
          <w:tab w:val="clear" w:pos="720"/>
          <w:tab w:val="left" w:pos="4320" w:leader="none"/>
          <w:tab w:val="left" w:pos="5760" w:leader="none"/>
          <w:tab w:val="right" w:pos="9180" w:leader="none"/>
        </w:tabs>
        <w:jc w:val="both"/>
        <w:rPr>
          <w:rFonts w:ascii="Times New Roman" w:hAnsi="Times New Roman" w:eastAsia="Times New Roman" w:cs="Times New Roman"/>
        </w:rPr>
      </w:pPr>
      <w:r>
        <w:rPr>
          <w:rFonts w:eastAsia="Times New Roman" w:cs="Times New Roman" w:ascii="Times New Roman" w:hAnsi="Times New Roman"/>
        </w:rPr>
        <w:t>California Independent System</w:t>
        <w:tab/>
        <w:t>)</w:t>
        <w:tab/>
        <w:t xml:space="preserve"> Docket No. ER01-607-000</w:t>
      </w:r>
    </w:p>
    <w:p>
      <w:pPr>
        <w:pStyle w:val="Normal"/>
        <w:widowControl/>
        <w:tabs>
          <w:tab w:val="clear" w:pos="720"/>
          <w:tab w:val="left" w:pos="4320" w:leader="none"/>
          <w:tab w:val="center" w:pos="5400" w:leader="none"/>
          <w:tab w:val="right" w:pos="9180" w:leader="none"/>
        </w:tabs>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Operator Corporation</w:t>
        <w:tab/>
        <w:t>)</w:t>
      </w:r>
    </w:p>
    <w:p>
      <w:pPr>
        <w:pStyle w:val="Normal"/>
        <w:widowControl/>
        <w:tabs>
          <w:tab w:val="clear" w:pos="720"/>
          <w:tab w:val="left" w:pos="4320" w:leader="none"/>
          <w:tab w:val="center" w:pos="5400" w:leader="none"/>
          <w:tab w:val="right" w:pos="9180" w:leader="none"/>
        </w:tabs>
        <w:jc w:val="both"/>
        <w:rPr>
          <w:rFonts w:ascii="Times New Roman" w:hAnsi="Times New Roman" w:eastAsia="Times New Roman" w:cs="Times New Roman"/>
          <w:smallCaps/>
        </w:rPr>
      </w:pPr>
      <w:r>
        <w:rPr>
          <w:rFonts w:eastAsia="Times New Roman" w:cs="Times New Roman" w:ascii="Times New Roman" w:hAnsi="Times New Roman"/>
          <w:smallCaps/>
        </w:rPr>
        <w:t>____________________________________)</w:t>
      </w:r>
    </w:p>
    <w:p>
      <w:pPr>
        <w:pStyle w:val="Normal"/>
        <w:widowControl/>
        <w:jc w:val="both"/>
        <w:rPr>
          <w:rFonts w:ascii="Times New Roman" w:hAnsi="Times New Roman" w:eastAsia="Times New Roman" w:cs="Times New Roman"/>
          <w:smallCaps/>
        </w:rPr>
      </w:pPr>
      <w:r>
        <w:rPr>
          <w:rFonts w:eastAsia="Times New Roman" w:cs="Times New Roman" w:ascii="Times New Roman" w:hAnsi="Times New Roman"/>
          <w:smallCaps/>
        </w:rPr>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Heading6"/>
        <w:widowControl/>
        <w:ind w:hanging="0" w:start="0"/>
        <w:rPr>
          <w:rFonts w:ascii="Times New Roman" w:hAnsi="Times New Roman" w:eastAsia="Times New Roman" w:cs="Times New Roman"/>
        </w:rPr>
      </w:pPr>
      <w:r>
        <w:rPr>
          <w:rFonts w:eastAsia="Times New Roman" w:cs="Times New Roman" w:ascii="Times New Roman" w:hAnsi="Times New Roman"/>
        </w:rPr>
        <w:t>COMMENTS OF THE WESTERN POWER TRADING FORUM IN SUPPORT</w:t>
      </w:r>
    </w:p>
    <w:p>
      <w:pPr>
        <w:pStyle w:val="Heading6"/>
        <w:widowControl/>
        <w:ind w:hanging="0" w:start="0"/>
        <w:rPr>
          <w:rFonts w:ascii="Times New Roman" w:hAnsi="Times New Roman" w:eastAsia="Times New Roman" w:cs="Times New Roman"/>
        </w:rPr>
      </w:pPr>
      <w:r>
        <w:rPr>
          <w:rFonts w:eastAsia="Times New Roman" w:cs="Times New Roman" w:ascii="Times New Roman" w:hAnsi="Times New Roman"/>
        </w:rPr>
        <w:t>OF THE CALIFORNIA POWER EXCHANGE CORPORATION’S</w:t>
      </w:r>
    </w:p>
    <w:p>
      <w:pPr>
        <w:pStyle w:val="Heading6"/>
        <w:widowControl/>
        <w:ind w:hanging="0" w:start="0"/>
        <w:rPr/>
      </w:pPr>
      <w:r>
        <w:rPr>
          <w:rFonts w:eastAsia="Times New Roman" w:cs="Times New Roman" w:ascii="Times New Roman" w:hAnsi="Times New Roman"/>
        </w:rPr>
        <w:t>MOTION</w:t>
      </w:r>
      <w:r>
        <w:rPr>
          <w:rFonts w:eastAsia="Times New Roman" w:cs="Times New Roman" w:ascii="Times New Roman" w:hAnsi="Times New Roman"/>
          <w:b w:val="false"/>
          <w:bCs w:val="false"/>
        </w:rPr>
        <w:t xml:space="preserve"> </w:t>
      </w:r>
      <w:r>
        <w:rPr>
          <w:rFonts w:eastAsia="Times New Roman" w:cs="Times New Roman" w:ascii="Times New Roman" w:hAnsi="Times New Roman"/>
        </w:rPr>
        <w:t>TO</w:t>
      </w:r>
      <w:r>
        <w:rPr>
          <w:rFonts w:eastAsia="Times New Roman" w:cs="Times New Roman" w:ascii="Times New Roman" w:hAnsi="Times New Roman"/>
          <w:b w:val="false"/>
          <w:bCs w:val="false"/>
        </w:rPr>
        <w:t xml:space="preserve"> </w:t>
      </w:r>
      <w:r>
        <w:rPr>
          <w:rFonts w:eastAsia="Times New Roman" w:cs="Times New Roman" w:ascii="Times New Roman" w:hAnsi="Times New Roman"/>
        </w:rPr>
        <w:t>INTERVENE AND MOTION FOR</w:t>
      </w:r>
    </w:p>
    <w:p>
      <w:pPr>
        <w:pStyle w:val="Heading6"/>
        <w:widowControl/>
        <w:ind w:hanging="0" w:start="0"/>
        <w:rPr>
          <w:rFonts w:ascii="Times New Roman" w:hAnsi="Times New Roman" w:eastAsia="Times New Roman" w:cs="Times New Roman"/>
        </w:rPr>
      </w:pPr>
      <w:r>
        <w:rPr>
          <w:rFonts w:eastAsia="Times New Roman" w:cs="Times New Roman" w:ascii="Times New Roman" w:hAnsi="Times New Roman"/>
        </w:rPr>
        <w:t>EMERGENCY EXPEDITED MODIFICATION OF</w:t>
      </w:r>
    </w:p>
    <w:p>
      <w:pPr>
        <w:pStyle w:val="Normal"/>
        <w:widowControl/>
        <w:jc w:val="center"/>
        <w:rPr>
          <w:rFonts w:ascii="Times New Roman" w:hAnsi="Times New Roman" w:eastAsia="Times New Roman" w:cs="Times New Roman"/>
          <w:b/>
          <w:bCs/>
        </w:rPr>
      </w:pPr>
      <w:r>
        <w:rPr>
          <w:rFonts w:eastAsia="Times New Roman" w:cs="Times New Roman" w:ascii="Times New Roman" w:hAnsi="Times New Roman"/>
          <w:b/>
          <w:bCs/>
        </w:rPr>
        <w:t>CAISO TARIFF AMENDMENT NO. 33</w:t>
      </w:r>
    </w:p>
    <w:p>
      <w:pPr>
        <w:pStyle w:val="Normal"/>
        <w:widowControl/>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 xml:space="preserve">Pursuant to 18 C.F.R. §§ 385.212 and 385.214, the Western Power Trading Forum (“WPTF”) moves to intervene in this proceeding in support of the December 11, 2000, emergency motion of the California Power Exchange Corporation (“PX”) for expedited modification of the California Independent System Operator Corporation’s (“CAISO’s”) Tariff Amendment No. 33.  Amendment No. 33 was approved by the Commission on December 8, 2000, the same day it was filed by CAISO.  </w:t>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There are three essential elements to Amendment No. 33:  (1) a “soft cap” of $250/MWh for energy bids in the CAISO real-time markets; (2) a proposed allocation of costs for energy purchases above the soft cap to those scheduling coordinators who are found to have underscheduled load or overscheduled generation; and (3) proposed penalties for generators that do not comply with CAISO dispatch instructions.  Unfortunately, Amendment No. 33 does not also modify the cap on Adjustment Bids in a manner consistent with its other changes.</w:t>
      </w:r>
    </w:p>
    <w:p>
      <w:pPr>
        <w:pStyle w:val="Normal"/>
        <w:widowControl/>
        <w:spacing w:lineRule="auto" w:line="480"/>
        <w:ind w:firstLine="720" w:end="0"/>
        <w:jc w:val="both"/>
        <w:rPr/>
      </w:pPr>
      <w:r>
        <w:rPr>
          <w:rFonts w:eastAsia="Times New Roman" w:cs="Times New Roman" w:ascii="Times New Roman" w:hAnsi="Times New Roman"/>
        </w:rPr>
        <w:t>WPTF agrees with the PX that there is a serious, unintended consequence which is being caused by the implementation of Tariff Amendment No. 33, without addressing Adjustment Bids.  It causes distortions in California prices as compared to those of surrounding markets, (</w:t>
      </w:r>
      <w:r>
        <w:rPr>
          <w:rFonts w:eastAsia="Times New Roman" w:cs="Times New Roman" w:ascii="Times New Roman" w:hAnsi="Times New Roman"/>
          <w:i/>
          <w:iCs/>
        </w:rPr>
        <w:t>e.g.</w:t>
      </w:r>
      <w:r>
        <w:rPr>
          <w:rFonts w:eastAsia="Times New Roman" w:cs="Times New Roman" w:ascii="Times New Roman" w:hAnsi="Times New Roman"/>
        </w:rPr>
        <w:t xml:space="preserve">, Mid-C, Palo Verde, etc.) including the CAISO’s own out-of-market and real-time operations and other control areas.  As a result, there is likely to be a significant supply migration out of forward markets, which is clearly contrary to the Commission’s previous direction.  </w:t>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As described herein, WPTF supports the modifications proposed by the PX on a temporary, interim basis.  However, WPTF also notes that the Commission should continue to monitor this situation closely, in case further unintended consequences should occur.  Moreover, WPTF reemphasizes its earlier statements in various proceedings before this Commission, that price caps are inefficient, counter-productive and harmful to markets generally.  Therefore, the Commission should continue to move in the direction of eliminating them entirely.</w:t>
      </w:r>
    </w:p>
    <w:p>
      <w:pPr>
        <w:pStyle w:val="Normal"/>
        <w:widowControl/>
        <w:spacing w:lineRule="auto" w:line="360"/>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Style"/>
        <w:widowControl/>
        <w:spacing w:lineRule="auto" w:line="480"/>
        <w:ind w:firstLine="720" w:end="0"/>
        <w:rPr>
          <w:rFonts w:ascii="Times New Roman" w:hAnsi="Times New Roman" w:eastAsia="Times New Roman" w:cs="Times New Roman"/>
          <w:b/>
          <w:bCs/>
        </w:rPr>
      </w:pPr>
      <w:r>
        <w:rPr>
          <w:rFonts w:eastAsia="Times New Roman" w:cs="Times New Roman" w:ascii="Times New Roman" w:hAnsi="Times New Roman"/>
          <w:b/>
          <w:bCs/>
        </w:rPr>
        <w:t>I.</w:t>
        <w:tab/>
        <w:t>INTRODUCTION AND MOTION TO INTERVENE</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The 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Therefore, WPTF has a material interest in CAISO Amendment No. 33 and the resulting PX emergency motion.  No other party can adequately represent WPTF’s interests, and its participation in this case will be in the public interest.  </w:t>
      </w:r>
    </w:p>
    <w:p>
      <w:pPr>
        <w:pStyle w:val="Normal"/>
        <w:widowControl/>
        <w:spacing w:lineRule="auto" w:line="480"/>
        <w:jc w:val="both"/>
        <w:rPr>
          <w:rFonts w:ascii="Times New Roman" w:hAnsi="Times New Roman" w:eastAsia="Times New Roman" w:cs="Times New Roman"/>
        </w:rPr>
      </w:pPr>
      <w:r>
        <w:rPr>
          <w:rFonts w:eastAsia="Times New Roman" w:cs="Times New Roman" w:ascii="Times New Roman" w:hAnsi="Times New Roman"/>
        </w:rPr>
        <w:tab/>
        <w:t>For purposes of notice and communications, WPTF requests that the following name be placed on the service list in this proceeding:</w:t>
      </w:r>
    </w:p>
    <w:p>
      <w:pPr>
        <w:pStyle w:val="Normal"/>
        <w:ind w:firstLine="1440" w:start="1440" w:end="0"/>
        <w:rPr>
          <w:rFonts w:ascii="Times New Roman" w:hAnsi="Times New Roman" w:eastAsia="Times New Roman" w:cs="Times New Roman"/>
        </w:rPr>
      </w:pPr>
      <w:r>
        <w:rPr>
          <w:rFonts w:eastAsia="Times New Roman" w:cs="Times New Roman" w:ascii="Times New Roman" w:hAnsi="Times New Roman"/>
        </w:rPr>
        <w:t>Daniel W. Douglass</w:t>
      </w:r>
    </w:p>
    <w:p>
      <w:pPr>
        <w:pStyle w:val="Normal"/>
        <w:ind w:firstLine="1440" w:start="1440" w:end="0"/>
        <w:rPr>
          <w:rFonts w:ascii="Times New Roman" w:hAnsi="Times New Roman" w:eastAsia="Times New Roman" w:cs="Times New Roman"/>
        </w:rPr>
      </w:pPr>
      <w:r>
        <w:rPr>
          <w:rFonts w:eastAsia="Times New Roman" w:cs="Times New Roman" w:ascii="Times New Roman" w:hAnsi="Times New Roman"/>
        </w:rPr>
        <w:t>Arter &amp; Hadden LLP</w:t>
      </w:r>
    </w:p>
    <w:p>
      <w:pPr>
        <w:pStyle w:val="Normal"/>
        <w:ind w:firstLine="1440" w:start="1440" w:end="0"/>
        <w:rPr>
          <w:rFonts w:ascii="Times New Roman" w:hAnsi="Times New Roman" w:eastAsia="Times New Roman" w:cs="Times New Roman"/>
        </w:rPr>
      </w:pPr>
      <w:r>
        <w:rPr>
          <w:rFonts w:eastAsia="Times New Roman" w:cs="Times New Roman" w:ascii="Times New Roman" w:hAnsi="Times New Roman"/>
        </w:rPr>
        <w:t>5959 Topanga Canyon Blvd.  Suite 244</w:t>
      </w:r>
    </w:p>
    <w:p>
      <w:pPr>
        <w:pStyle w:val="Normal"/>
        <w:ind w:firstLine="1440" w:start="1440" w:end="0"/>
        <w:rPr>
          <w:rFonts w:ascii="Times New Roman" w:hAnsi="Times New Roman" w:eastAsia="Times New Roman" w:cs="Times New Roman"/>
        </w:rPr>
      </w:pPr>
      <w:r>
        <w:rPr>
          <w:rFonts w:eastAsia="Times New Roman" w:cs="Times New Roman" w:ascii="Times New Roman" w:hAnsi="Times New Roman"/>
        </w:rPr>
        <w:t>Woodland Hills, CA 91367</w:t>
      </w:r>
    </w:p>
    <w:p>
      <w:pPr>
        <w:pStyle w:val="Normal"/>
        <w:ind w:firstLine="1440" w:start="1440" w:end="0"/>
        <w:rPr>
          <w:rFonts w:ascii="Times New Roman" w:hAnsi="Times New Roman" w:eastAsia="Times New Roman" w:cs="Times New Roman"/>
        </w:rPr>
      </w:pPr>
      <w:r>
        <w:rPr>
          <w:rFonts w:eastAsia="Times New Roman" w:cs="Times New Roman" w:ascii="Times New Roman" w:hAnsi="Times New Roman"/>
        </w:rPr>
        <w:t>Telephone (818) 596-2201</w:t>
      </w:r>
    </w:p>
    <w:p>
      <w:pPr>
        <w:pStyle w:val="Normal"/>
        <w:ind w:firstLine="2880" w:end="0"/>
        <w:rPr>
          <w:rFonts w:ascii="Times New Roman" w:hAnsi="Times New Roman" w:eastAsia="Times New Roman" w:cs="Times New Roman"/>
        </w:rPr>
      </w:pPr>
      <w:r>
        <w:rPr>
          <w:rFonts w:eastAsia="Times New Roman" w:cs="Times New Roman" w:ascii="Times New Roman" w:hAnsi="Times New Roman"/>
        </w:rPr>
        <w:t>Facsimile   (818) 346-6502</w:t>
      </w:r>
    </w:p>
    <w:p>
      <w:pPr>
        <w:pStyle w:val="standard"/>
        <w:widowControl/>
        <w:spacing w:lineRule="auto" w:line="480"/>
        <w:ind w:start="21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E-mail: douglass@arterhadden.com</w:t>
      </w:r>
    </w:p>
    <w:p>
      <w:pPr>
        <w:pStyle w:val="standard"/>
        <w:widowContro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b/>
          <w:bCs/>
        </w:rPr>
        <w:t xml:space="preserve">II.  </w:t>
      </w:r>
      <w:r>
        <w:rPr>
          <w:rFonts w:eastAsia="Times New Roman" w:cs="Times New Roman" w:ascii="Times New Roman" w:hAnsi="Times New Roman"/>
          <w:b/>
          <w:bCs/>
          <w:u w:val="single"/>
        </w:rPr>
        <w:t>ANALYSIS</w:t>
      </w:r>
    </w:p>
    <w:p>
      <w:pPr>
        <w:pStyle w:val="Normal"/>
        <w:widowControl/>
        <w:spacing w:lineRule="auto" w:line="480"/>
        <w:ind w:firstLine="720" w:end="0"/>
        <w:jc w:val="both"/>
        <w:rPr/>
      </w:pPr>
      <w:r>
        <w:rPr>
          <w:rFonts w:eastAsia="Times New Roman" w:cs="Times New Roman" w:ascii="Times New Roman" w:hAnsi="Times New Roman"/>
        </w:rPr>
        <w:t xml:space="preserve">The PX’s requests that the Commission issue an emergency modification of Tariff Amendment No. 33, which the CAISO filed on Friday, December 8, 2000.  The Commission authorized the Amendment that day, as the PX notes, “without notice or opportunity for comment” </w:t>
      </w:r>
      <w:r>
        <w:rPr>
          <w:rStyle w:val="FootnoteCharacters"/>
          <w:rStyle w:val="FootnoteReference"/>
          <w:rFonts w:eastAsia="Times New Roman" w:cs="Times New Roman" w:ascii="Times New Roman" w:hAnsi="Times New Roman"/>
          <w:b w:val="false"/>
          <w:bCs w:val="false"/>
          <w:sz w:val="24"/>
          <w:szCs w:val="24"/>
          <w:u w:val="none"/>
        </w:rPr>
        <w:footnoteReference w:id="2"/>
      </w:r>
      <w:r>
        <w:rPr>
          <w:rFonts w:eastAsia="Times New Roman" w:cs="Times New Roman" w:ascii="Times New Roman" w:hAnsi="Times New Roman"/>
        </w:rPr>
        <w:t xml:space="preserve"> by interested parties.  WPTF agrees with the PX that Amendment No. 33 threatens to cause significant, and irreparable, unintended consequences to California markets, due to the fact that Amendment No. 33 is highly likely to result in a significant supply migration out of the California PX day-ahead and day-of markets into real-time ISO markets.  In fact, the PX notes that it has already been informed by several market participants that Amendment No. 33 will cause them to be no longer able to bid their generating resources into the PX day-ahead or day-of markets.  </w:t>
      </w:r>
    </w:p>
    <w:p>
      <w:pPr>
        <w:pStyle w:val="Normal"/>
        <w:widowControl/>
        <w:spacing w:lineRule="auto" w:line="480"/>
        <w:ind w:firstLine="720" w:end="0"/>
        <w:jc w:val="both"/>
        <w:rPr/>
      </w:pPr>
      <w:r>
        <w:rPr>
          <w:rFonts w:eastAsia="Times New Roman" w:cs="Times New Roman" w:ascii="Times New Roman" w:hAnsi="Times New Roman"/>
        </w:rPr>
        <w:t xml:space="preserve">This is a significant, and unintended result of Amendment No. 33.  Moreover, it is contrary to Commission direction with regard to increasing the liquidity of California forward markets.  As the Commission noted in its November 1 Order in Dockets EL00-95-000, </w:t>
      </w:r>
      <w:r>
        <w:rPr>
          <w:rFonts w:eastAsia="Times New Roman" w:cs="Times New Roman" w:ascii="Times New Roman" w:hAnsi="Times New Roman"/>
          <w:i/>
          <w:iCs/>
        </w:rPr>
        <w:t>et. al</w:t>
      </w:r>
      <w:r>
        <w:rPr>
          <w:rFonts w:eastAsia="Times New Roman" w:cs="Times New Roman" w:ascii="Times New Roman" w:hAnsi="Times New Roman"/>
        </w:rPr>
        <w:t>.:</w:t>
      </w:r>
    </w:p>
    <w:p>
      <w:pPr>
        <w:pStyle w:val="Normal"/>
        <w:widowControl/>
        <w:ind w:start="720" w:end="720"/>
        <w:jc w:val="both"/>
        <w:rPr>
          <w:rFonts w:ascii="Times New Roman" w:hAnsi="Times New Roman" w:eastAsia="Times New Roman" w:cs="Times New Roman"/>
        </w:rPr>
      </w:pPr>
      <w:r>
        <w:rPr>
          <w:rFonts w:eastAsia="Times New Roman" w:cs="Times New Roman" w:ascii="Times New Roman" w:hAnsi="Times New Roman"/>
        </w:rPr>
        <w:t xml:space="preserve">Moving significant amounts of wholesale transactions into forward markets will (1) reduce reliance on spot markets, thereby directly reducing both the likelihood and the adverse economic consequences of pricing volatility; [footnote omitted] (2) eliminate the adverse reliability impacts that the ISO faces each day as its obligation to operate a real-time balance market has become transformed into operating the major commodity exchange at the last minute; (3) increase the likelihood of new generation entry because the uncertain revenue stream from spot markets will not attract the necessary capital investments; and (4) limit the ability of sellers to exercise market power in spot markets.  To address this critical problem and ensure that market participants have access to forward markets, this order proposes certain remedies intended to facilitate forward contracting. </w:t>
      </w:r>
      <w:r>
        <w:rPr>
          <w:rStyle w:val="FootnoteCharacters"/>
          <w:rStyle w:val="FootnoteReference"/>
          <w:rFonts w:eastAsia="Times New Roman" w:cs="Times New Roman" w:ascii="Times New Roman" w:hAnsi="Times New Roman"/>
          <w:b w:val="false"/>
          <w:bCs w:val="false"/>
          <w:sz w:val="24"/>
          <w:szCs w:val="24"/>
          <w:u w:val="none"/>
        </w:rPr>
        <w:footnoteReference w:id="3"/>
      </w:r>
    </w:p>
    <w:p>
      <w:pPr>
        <w:pStyle w:val="Normal"/>
        <w:widowControl/>
        <w:ind w:start="720" w:end="72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uto" w:line="480"/>
        <w:ind w:firstLine="720" w:end="0"/>
        <w:jc w:val="both"/>
        <w:rPr/>
      </w:pPr>
      <w:r>
        <w:rPr>
          <w:rFonts w:eastAsia="Times New Roman" w:cs="Times New Roman" w:ascii="Times New Roman" w:hAnsi="Times New Roman"/>
        </w:rPr>
        <w:t xml:space="preserve">Given this clear statement by the Commission as to the importance of maximizing forward market participation, it is clear that the rapid approval of Amendment No. 33 was done without cognizance of the unintended negative effect on California markets. While the ISO’s “need to encourage suppliers to bid into </w:t>
      </w:r>
      <w:r>
        <w:rPr>
          <w:rFonts w:eastAsia="Times New Roman" w:cs="Times New Roman" w:ascii="Times New Roman" w:hAnsi="Times New Roman"/>
          <w:b/>
          <w:bCs/>
        </w:rPr>
        <w:t xml:space="preserve">some </w:t>
      </w:r>
      <w:r>
        <w:rPr>
          <w:rFonts w:eastAsia="Times New Roman" w:cs="Times New Roman" w:ascii="Times New Roman" w:hAnsi="Times New Roman"/>
        </w:rPr>
        <w:t xml:space="preserve">market” </w:t>
      </w:r>
      <w:r>
        <w:rPr>
          <w:rStyle w:val="FootnoteCharacters"/>
          <w:rStyle w:val="FootnoteReference"/>
          <w:rFonts w:eastAsia="Times New Roman" w:cs="Times New Roman" w:ascii="Times New Roman" w:hAnsi="Times New Roman"/>
          <w:sz w:val="24"/>
          <w:szCs w:val="24"/>
        </w:rPr>
        <w:footnoteReference w:id="4"/>
      </w:r>
      <w:r>
        <w:rPr>
          <w:rFonts w:eastAsia="Times New Roman" w:cs="Times New Roman" w:ascii="Times New Roman" w:hAnsi="Times New Roman"/>
        </w:rPr>
        <w:t xml:space="preserve"> cannot be underestimated, encouraging forward market participation is more consistent with the Commission’s previous issuances and reduces Real-Time volumes, which in turn improves reliability and reduces the workload and strain of ISO operators.  Instead, the ISO recognizes that its amendment has the significant possibility to move more generation, and thus load, into the ISO’s Real-Time market.  </w:t>
      </w:r>
    </w:p>
    <w:p>
      <w:pPr>
        <w:pStyle w:val="Normal"/>
        <w:widowControl/>
        <w:spacing w:lineRule="auto" w:line="480"/>
        <w:ind w:firstLine="720" w:end="0"/>
        <w:jc w:val="both"/>
        <w:rPr>
          <w:rFonts w:ascii="Times New Roman" w:hAnsi="Times New Roman" w:eastAsia="Times New Roman" w:cs="Times New Roman"/>
          <w:b/>
          <w:bCs/>
        </w:rPr>
      </w:pPr>
      <w:r>
        <w:rPr>
          <w:rFonts w:eastAsia="Times New Roman" w:cs="Times New Roman" w:ascii="Times New Roman" w:hAnsi="Times New Roman"/>
        </w:rPr>
        <w:t>Moreover, there are other unintended and negative consequences of Amendment No. 33.  For example, the ISO’s tariff change could be highly unfair to interruptible customers and their energy service providers (“ESPs”), and could jeopardize demand responsiveness programs in general.  The potential harm could result from the difference between uncapped PX day-ahead prices and capped market clearing prices for over scheduled loads in the ISO imbalance market.  When customers who are on an interruptible tariff or who participate in a ISO demand responsiveness program are interrupted during an emergency situation, their load schedule will be long in the imbalance market.  This long position would only be paid the market clearing price up to the $250 soft cap limit, even though actual emergency supply costs could be well above this limit.  Furthermore, if the load was bid into the PX day ahead market and covered at the much higher uncapped supply prices, then the customers or their ESPs could face undue harm.  The upshot is that customers will have a clear disincentive to participate in these much needed programs or from bidding into the PX day ahead market because of the unfair risk imposed by the tariff.  WPTF recommends that this unintended negative consequence should be addressed by CAISO and the Commission</w:t>
      </w:r>
      <w:r>
        <w:rPr>
          <w:rFonts w:eastAsia="Times New Roman" w:cs="Times New Roman" w:ascii="Times New Roman" w:hAnsi="Times New Roman"/>
          <w:b/>
          <w:bCs/>
          <w:i/>
          <w:iCs/>
        </w:rPr>
        <w:t>.</w:t>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Further, cogeneration units currently sit idle (e.g., 70 MW in the Los Angeles basin), because of the affect of the ISO’s Amendment No. 33. A cogeneration unit that bids and is accepted into the PX day-ahead market is then subject to the after-the-fact implementation of the $250 hard cap imposed by the ISO on adjustment bids for congestion management. This creates too much uncertainty and risk of having to operate above its costs, losing significant money in the process.  At current gas prices, for example, the costs of operating the cogeneration unit are about double the $250 cap.  Bidding into ISO markets is too risky as well.  The ISO can accept the bid for an hour, but then only dispatch the unit for only 10 minutes out of the hour.  The cogenerator cannot operate by being dispatched on and off at ten-minute intervals.  Accordingly, it sits idle at this time of great need for capacity – further indication that complicated market caps and rules have unintended and undesirable consequences.</w:t>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WPTF agrees with the fundamental premise in the PX’s emergency motion that it is imperative for the Commission:</w:t>
      </w:r>
    </w:p>
    <w:p>
      <w:pPr>
        <w:pStyle w:val="Normal"/>
        <w:widowControl/>
        <w:ind w:start="720" w:end="720"/>
        <w:jc w:val="both"/>
        <w:rPr/>
      </w:pPr>
      <w:r>
        <w:rPr>
          <w:rFonts w:eastAsia="Times New Roman" w:cs="Times New Roman" w:ascii="Times New Roman" w:hAnsi="Times New Roman"/>
        </w:rPr>
        <w:t>. . . to allow the existing “hard cap” on Adjustment Bids to rise from $250 per MWh to an equivalent of the energy price, that is a floating cap.  Without immediately adding this component to the CAISO proposal, forward trading in the day-ahead and day-of markets is unlikely to occur, real-time trading will dramatically increase and real-time prices can be expected to rise well above competitive levels.</w:t>
      </w:r>
      <w:r>
        <w:rPr>
          <w:rFonts w:eastAsia="Times New Roman" w:cs="Times New Roman" w:ascii="Times New Roman" w:hAnsi="Times New Roman"/>
          <w:b/>
          <w:bCs/>
        </w:rPr>
        <w:t xml:space="preserve"> </w:t>
      </w:r>
      <w:r>
        <w:rPr>
          <w:rStyle w:val="FootnoteCharacters"/>
          <w:rStyle w:val="FootnoteReference"/>
          <w:rFonts w:eastAsia="Times New Roman" w:cs="Times New Roman" w:ascii="Times New Roman" w:hAnsi="Times New Roman"/>
          <w:b w:val="false"/>
          <w:bCs w:val="false"/>
          <w:sz w:val="24"/>
          <w:szCs w:val="24"/>
          <w:u w:val="none"/>
        </w:rPr>
        <w:footnoteReference w:id="5"/>
      </w:r>
      <w:r>
        <w:rPr>
          <w:rFonts w:eastAsia="Times New Roman" w:cs="Times New Roman" w:ascii="Times New Roman" w:hAnsi="Times New Roman"/>
          <w:b/>
          <w:bCs/>
        </w:rPr>
        <w:t xml:space="preserve"> </w:t>
      </w:r>
    </w:p>
    <w:p>
      <w:pPr>
        <w:pStyle w:val="Normal"/>
        <w:widowControl/>
        <w:ind w:start="720" w:end="72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The PX has requested an emergency order, effective as soon as possible, which would remove the hard cap on Adjustment Bids and replace it with an energy price equivalent.  As noted in the PX critique of Amendment No. 33:</w:t>
      </w:r>
    </w:p>
    <w:p>
      <w:pPr>
        <w:pStyle w:val="Normal"/>
        <w:widowControl/>
        <w:ind w:start="720" w:end="720"/>
        <w:jc w:val="both"/>
        <w:rPr>
          <w:rFonts w:ascii="Times New Roman" w:hAnsi="Times New Roman" w:eastAsia="Times New Roman" w:cs="Times New Roman"/>
        </w:rPr>
      </w:pPr>
      <w:r>
        <w:rPr>
          <w:rFonts w:eastAsia="Times New Roman" w:cs="Times New Roman" w:ascii="Times New Roman" w:hAnsi="Times New Roman"/>
        </w:rPr>
        <w:t xml:space="preserve">This will allow suppliers to protect themselves from being forced to supply energy at prices that are below their costs, which will fully incent them to participate in the forward markets.  Additionally, because loads will also be able to submit bids to curtail demand at prices above $250, they will not be price-takers for congested energy and will thus be able to protect themselves from prices that are higher than prevailing markets.  The price certainty and price protection offered by raising the cap applies equally to both suppliers and purchasers.  As such, it is the only way to ensure that all market participants have sufficient incentive and ability to schedule forward. </w:t>
      </w:r>
      <w:r>
        <w:rPr>
          <w:rStyle w:val="FootnoteCharacters"/>
          <w:rStyle w:val="FootnoteReference"/>
          <w:rFonts w:eastAsia="Times New Roman" w:cs="Times New Roman" w:ascii="Times New Roman" w:hAnsi="Times New Roman"/>
          <w:b w:val="false"/>
          <w:bCs w:val="false"/>
          <w:sz w:val="24"/>
          <w:szCs w:val="24"/>
          <w:u w:val="none"/>
        </w:rPr>
        <w:footnoteReference w:id="6"/>
      </w:r>
    </w:p>
    <w:p>
      <w:pPr>
        <w:pStyle w:val="Normal"/>
        <w:widowControl/>
        <w:ind w:start="720" w:end="72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uto" w:line="480"/>
        <w:jc w:val="both"/>
        <w:rPr>
          <w:rFonts w:ascii="Times New Roman" w:hAnsi="Times New Roman" w:eastAsia="Times New Roman" w:cs="Times New Roman"/>
        </w:rPr>
      </w:pPr>
      <w:r>
        <w:rPr>
          <w:rFonts w:eastAsia="Times New Roman" w:cs="Times New Roman" w:ascii="Times New Roman" w:hAnsi="Times New Roman"/>
        </w:rPr>
        <w:t>WPTF believes that the PX has accurately characterized the importance of this issue and supports the PX’s proposed remedy.</w:t>
      </w:r>
    </w:p>
    <w:p>
      <w:pPr>
        <w:pStyle w:val="Normal"/>
        <w:widowControl/>
        <w:spacing w:lineRule="auto" w:line="480"/>
        <w:ind w:firstLine="720" w:end="0"/>
        <w:jc w:val="both"/>
        <w:rPr/>
      </w:pPr>
      <w:r>
        <w:rPr>
          <w:rFonts w:eastAsia="Times New Roman" w:cs="Times New Roman" w:ascii="Times New Roman" w:hAnsi="Times New Roman"/>
        </w:rPr>
        <w:t xml:space="preserve">In its response to the PX’s motion, the ISO suggests an alternative to raising the adjustment bid price cap, which requires the PX to modify its customer’s bids.  This process requires more comprehensive software changes than those proposed by the PX, adds significant additional complexity to the congestion management process and limits the amount a bidder is able to move the price they are willing to pay or sell in the event of congestion.  The ISO’s criticism of the PX’s proposal, that “a higher cap on Adjustment Bids may have a greater impact on the cost of Energy in California” </w:t>
      </w:r>
      <w:r>
        <w:rPr>
          <w:rStyle w:val="FootnoteCharacters"/>
          <w:rStyle w:val="FootnoteReference"/>
          <w:rFonts w:eastAsia="Times New Roman" w:cs="Times New Roman" w:ascii="Times New Roman" w:hAnsi="Times New Roman"/>
          <w:b w:val="false"/>
          <w:bCs w:val="false"/>
          <w:sz w:val="24"/>
          <w:szCs w:val="24"/>
          <w:u w:val="none"/>
        </w:rPr>
        <w:footnoteReference w:id="7"/>
      </w:r>
      <w:r>
        <w:rPr>
          <w:rFonts w:eastAsia="Times New Roman" w:cs="Times New Roman" w:ascii="Times New Roman" w:hAnsi="Times New Roman"/>
        </w:rPr>
        <w:t xml:space="preserve"> is made without full assessment of its impact. </w:t>
      </w:r>
      <w:r>
        <w:rPr>
          <w:rStyle w:val="FootnoteCharacters"/>
          <w:rStyle w:val="FootnoteReference"/>
          <w:rFonts w:eastAsia="Times New Roman" w:cs="Times New Roman" w:ascii="Times New Roman" w:hAnsi="Times New Roman"/>
          <w:b w:val="false"/>
          <w:bCs w:val="false"/>
          <w:sz w:val="24"/>
          <w:szCs w:val="24"/>
          <w:u w:val="none"/>
        </w:rPr>
        <w:footnoteReference w:id="8"/>
      </w:r>
      <w:r>
        <w:rPr>
          <w:rFonts w:eastAsia="Times New Roman" w:cs="Times New Roman" w:ascii="Times New Roman" w:hAnsi="Times New Roman"/>
        </w:rPr>
        <w:t xml:space="preserve">  It is thus logical to assume that the impacts of the ISO’s own alternative have also not yet been fully determined, and may not, in fact, result in lower overall costs to consumers.  </w:t>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One reason to suspect the ISO’s claims may be unfounded is that, as the PX has pointed out, raising the adjustment bid cap provides both supply and demand with more flexibility to submit adjustment bids.  Loads would thus be able to submit adjustment bids, which would prevent prices rising to levels which they found unacceptable and would in fact give them greater flexibility to submit lower-priced bids than does the ISO’s proposal.  Providing both Demand and Supply the adjustment bid flexibility requested by the PX will properly incent forward scheduling, and will thus reduce the need for Real Time and Out of Market purchases by the ISO and the strain on its operators.  This should in fact lower overall costs to consumers as it can be expected that Load Serving Entities (whose primary goal is to purchase energy at the least costs for their customers) would procure less expensive energy than the ISO (whose goal is to maintain reliability, regardless of cost).</w:t>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b/>
          <w:bCs/>
        </w:rPr>
        <w:t>III.  CONCLUSION</w:t>
      </w:r>
    </w:p>
    <w:p>
      <w:pPr>
        <w:pStyle w:val="Normal"/>
        <w:widowControl/>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 xml:space="preserve">WPTF concurs with the PX that there is a serious flaw in CAISO Amendment No. 33; that the flaw can be corrected by removal of the hard cap on Adjustment Bids; and that immediate action by the Commission is imperative.  However, WPTF also reiterates that (1) the PX’s proposed remedy should be viewed as merely an interim solution, to remain in effect only for so long as the CAISO Imbalance Energy “soft cap” is effective; and (2) that the Commission should continue to monitor this situation closely, as there is the potential for further unintended and negative consequences to occur, so long as the Commission permits the continued imposition of any form of price caps.  </w:t>
      </w:r>
    </w:p>
    <w:p>
      <w:pPr>
        <w:pStyle w:val="Normal"/>
        <w:widowControl/>
        <w:spacing w:lineRule="auto" w:line="480"/>
        <w:ind w:firstLine="720" w:end="0"/>
        <w:jc w:val="both"/>
        <w:rPr/>
      </w:pPr>
      <w:r>
        <w:rPr>
          <w:rFonts w:eastAsia="Times New Roman" w:cs="Times New Roman" w:ascii="Times New Roman" w:hAnsi="Times New Roman"/>
        </w:rPr>
        <w:t xml:space="preserve">WPTF does not support price caps of any kind.  As we have repeatedly stated in various Commission filings, price caps are inimical to the interests of California consumers.  They generally lead to higher, rather than lower, prices, and discourage investment in new generation.  The Commission has itself noted that a, “price cap is not an ideal approach to operating a competitive market, and we do not expect it to remain in place on a long-term basis.” </w:t>
      </w:r>
      <w:r>
        <w:rPr>
          <w:rStyle w:val="FootnoteCharacters"/>
          <w:rStyle w:val="FootnoteReference"/>
          <w:rFonts w:eastAsia="Times New Roman" w:cs="Times New Roman" w:ascii="Times New Roman" w:hAnsi="Times New Roman"/>
          <w:b w:val="false"/>
          <w:bCs w:val="false"/>
          <w:sz w:val="24"/>
          <w:szCs w:val="24"/>
          <w:u w:val="none"/>
        </w:rPr>
        <w:footnoteReference w:id="9"/>
      </w:r>
      <w:r>
        <w:rPr>
          <w:rFonts w:eastAsia="Times New Roman" w:cs="Times New Roman" w:ascii="Times New Roman" w:hAnsi="Times New Roman"/>
        </w:rPr>
        <w:t xml:space="preserve"> The November 1 Order also stated that, “the most crucial task ahead is to ensure that a robust supply enters this market, both now and in response to any future price signals.” </w:t>
      </w:r>
      <w:r>
        <w:rPr>
          <w:rStyle w:val="FootnoteCharacters"/>
          <w:rStyle w:val="FootnoteReference"/>
          <w:rFonts w:eastAsia="Times New Roman" w:cs="Times New Roman" w:ascii="Times New Roman" w:hAnsi="Times New Roman"/>
          <w:b w:val="false"/>
          <w:bCs w:val="false"/>
          <w:sz w:val="24"/>
          <w:szCs w:val="24"/>
          <w:u w:val="none"/>
        </w:rPr>
        <w:footnoteReference w:id="10"/>
      </w:r>
      <w:r>
        <w:rPr>
          <w:rFonts w:eastAsia="Times New Roman" w:cs="Times New Roman" w:ascii="Times New Roman" w:hAnsi="Times New Roman"/>
          <w:b/>
          <w:bCs/>
        </w:rPr>
        <w:t xml:space="preserve"> </w:t>
      </w:r>
      <w:r>
        <w:rPr>
          <w:rFonts w:eastAsia="Times New Roman" w:cs="Times New Roman" w:ascii="Times New Roman" w:hAnsi="Times New Roman"/>
        </w:rPr>
        <w:t xml:space="preserve"> Approval of the PX emergency motion should therefore be viewed as strictly a necessary </w:t>
      </w:r>
      <w:r>
        <w:rPr>
          <w:rFonts w:eastAsia="Times New Roman" w:cs="Times New Roman" w:ascii="Times New Roman" w:hAnsi="Times New Roman"/>
          <w:u w:val="single"/>
        </w:rPr>
        <w:t>interim</w:t>
      </w:r>
      <w:r>
        <w:rPr>
          <w:rFonts w:eastAsia="Times New Roman" w:cs="Times New Roman" w:ascii="Times New Roman" w:hAnsi="Times New Roman"/>
        </w:rPr>
        <w:t xml:space="preserve"> action to assure a robust forward market, so long as the market has to cope with the bane of price caps.  As soon as possible, the Commission should act to discontinue all price caps, so that the market does not continued to be confronted with the need for repeated tinkering which is disruptive and deleterious to the development of robust and efficient markets.</w:t>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t>Respectfully submitted,</w:t>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t>ARTER &amp; HADDEN, LLP</w:t>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t>_______________________________</w:t>
      </w:r>
    </w:p>
    <w:p>
      <w:pPr>
        <w:pStyle w:val="Normal"/>
        <w:ind w:firstLine="1440" w:start="3600" w:end="0"/>
        <w:rPr>
          <w:rFonts w:ascii="Times New Roman" w:hAnsi="Times New Roman" w:eastAsia="Times New Roman" w:cs="Times New Roman"/>
        </w:rPr>
      </w:pPr>
      <w:r>
        <w:rPr>
          <w:rFonts w:eastAsia="Times New Roman" w:cs="Times New Roman" w:ascii="Times New Roman" w:hAnsi="Times New Roman"/>
        </w:rPr>
        <w:t>Daniel W. Douglass</w:t>
      </w:r>
    </w:p>
    <w:p>
      <w:pPr>
        <w:pStyle w:val="Normal"/>
        <w:ind w:firstLine="1440" w:start="3600" w:end="0"/>
        <w:rPr>
          <w:rFonts w:ascii="Times New Roman" w:hAnsi="Times New Roman" w:eastAsia="Times New Roman" w:cs="Times New Roman"/>
        </w:rPr>
      </w:pPr>
      <w:r>
        <w:rPr>
          <w:rFonts w:eastAsia="Times New Roman" w:cs="Times New Roman" w:ascii="Times New Roman" w:hAnsi="Times New Roman"/>
        </w:rPr>
        <w:t>Arter &amp; Hadden LLP</w:t>
      </w:r>
    </w:p>
    <w:p>
      <w:pPr>
        <w:pStyle w:val="Normal"/>
        <w:ind w:firstLine="1440" w:start="3600" w:end="0"/>
        <w:rPr>
          <w:rFonts w:ascii="Times New Roman" w:hAnsi="Times New Roman" w:eastAsia="Times New Roman" w:cs="Times New Roman"/>
        </w:rPr>
      </w:pPr>
      <w:r>
        <w:rPr>
          <w:rFonts w:eastAsia="Times New Roman" w:cs="Times New Roman" w:ascii="Times New Roman" w:hAnsi="Times New Roman"/>
        </w:rPr>
        <w:t>5959 Topanga Canyon Blvd.  Suite 244</w:t>
      </w:r>
    </w:p>
    <w:p>
      <w:pPr>
        <w:pStyle w:val="Normal"/>
        <w:ind w:firstLine="1440" w:start="3600" w:end="0"/>
        <w:rPr>
          <w:rFonts w:ascii="Times New Roman" w:hAnsi="Times New Roman" w:eastAsia="Times New Roman" w:cs="Times New Roman"/>
        </w:rPr>
      </w:pPr>
      <w:r>
        <w:rPr>
          <w:rFonts w:eastAsia="Times New Roman" w:cs="Times New Roman" w:ascii="Times New Roman" w:hAnsi="Times New Roman"/>
        </w:rPr>
        <w:t>Woodland Hills, CA 91367</w:t>
      </w:r>
    </w:p>
    <w:p>
      <w:pPr>
        <w:pStyle w:val="Normal"/>
        <w:ind w:firstLine="1440" w:start="3600" w:end="0"/>
        <w:rPr>
          <w:rFonts w:ascii="Times New Roman" w:hAnsi="Times New Roman" w:eastAsia="Times New Roman" w:cs="Times New Roman"/>
        </w:rPr>
      </w:pPr>
      <w:r>
        <w:rPr>
          <w:rFonts w:eastAsia="Times New Roman" w:cs="Times New Roman" w:ascii="Times New Roman" w:hAnsi="Times New Roman"/>
        </w:rPr>
        <w:t>Telephone (818) 596-2201</w:t>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t>Facsimile   (818) 346-6502</w:t>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t>E-mail: douglass@arterhadden.com</w:t>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t>Attorneys for the</w:t>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t>WESTERN POWER TRADING FORUM</w:t>
      </w:r>
    </w:p>
    <w:p>
      <w:pPr>
        <w:pStyle w:val="Normal"/>
        <w:ind w:firstLine="5040" w:end="0"/>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t xml:space="preserve">December 13, 2000 </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r>
        <w:br w:type="page"/>
      </w:r>
    </w:p>
    <w:p>
      <w:pPr>
        <w:pStyle w:val="Normal"/>
        <w:widowControl/>
        <w:jc w:val="center"/>
        <w:rPr>
          <w:rFonts w:ascii="Times New Roman" w:hAnsi="Times New Roman" w:eastAsia="Times New Roman" w:cs="Times New Roman"/>
        </w:rPr>
      </w:pPr>
      <w:r>
        <w:rPr>
          <w:rFonts w:eastAsia="Times New Roman" w:cs="Times New Roman" w:ascii="Times New Roman" w:hAnsi="Times New Roman"/>
          <w:b/>
          <w:bCs/>
        </w:rPr>
        <w:t>CERTIFICATE OF SERVICE</w:t>
      </w:r>
    </w:p>
    <w:p>
      <w:pPr>
        <w:pStyle w:val="SingleSpacing"/>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SingleSpacing"/>
        <w:spacing w:lineRule="auto" w:line="360"/>
        <w:ind w:firstLine="720" w:end="0"/>
        <w:jc w:val="both"/>
        <w:rPr/>
      </w:pPr>
      <w:r>
        <w:rPr>
          <w:rFonts w:eastAsia="Times New Roman" w:cs="Times New Roman" w:ascii="Times New Roman" w:hAnsi="Times New Roman"/>
        </w:rPr>
        <w:t>I hereby certify that I have this day served the foregoing document upon the following persons designated on the official service list compiled by the Secretary in Docket No</w:t>
      </w:r>
      <w:r>
        <w:rPr>
          <w:rFonts w:eastAsia="Times New Roman" w:cs="Times New Roman" w:ascii="Times New Roman" w:hAnsi="Times New Roman"/>
          <w:smallCaps/>
        </w:rPr>
        <w:t xml:space="preserve">. ER01-607-000 </w:t>
      </w:r>
      <w:r>
        <w:rPr>
          <w:rFonts w:eastAsia="Times New Roman" w:cs="Times New Roman" w:ascii="Times New Roman" w:hAnsi="Times New Roman"/>
        </w:rPr>
        <w:t>in accordance with the requirements of Rule 2010 of the Commission’s Rules of Practice and Procedure, 18 C.F.R. §385.2010 (1997):</w:t>
      </w:r>
    </w:p>
    <w:p>
      <w:pPr>
        <w:pStyle w:val="DoubleSpacing"/>
        <w:ind w:firstLine="720" w:end="0"/>
        <w:rPr/>
      </w:pPr>
      <w:r>
        <w:rPr>
          <w:rFonts w:eastAsia="Times New Roman" w:cs="Times New Roman" w:ascii="Times New Roman" w:hAnsi="Times New Roman"/>
        </w:rPr>
        <w:t>Dated at Woodland Hills, California on this 13</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day of December, 2000.</w:t>
      </w:r>
    </w:p>
    <w:p>
      <w:pPr>
        <w:pStyle w:val="DoubleSpacing"/>
        <w:rPr>
          <w:rFonts w:ascii="Times New Roman" w:hAnsi="Times New Roman" w:eastAsia="Times New Roman" w:cs="Times New Roman"/>
        </w:rPr>
      </w:pPr>
      <w:r>
        <w:rPr>
          <w:rFonts w:eastAsia="Times New Roman" w:cs="Times New Roman" w:ascii="Times New Roman" w:hAnsi="Times New Roman"/>
        </w:rPr>
      </w:r>
    </w:p>
    <w:p>
      <w:pPr>
        <w:pStyle w:val="DoubleSpacing"/>
        <w:rPr>
          <w:rFonts w:ascii="Times New Roman" w:hAnsi="Times New Roman" w:eastAsia="Times New Roman" w:cs="Times New Roman"/>
        </w:rPr>
      </w:pPr>
      <w:r>
        <w:rPr>
          <w:rFonts w:eastAsia="Times New Roman" w:cs="Times New Roman" w:ascii="Times New Roman" w:hAnsi="Times New Roman"/>
        </w:rPr>
        <w:tab/>
        <w:tab/>
        <w:tab/>
        <w:tab/>
        <w:tab/>
        <w:tab/>
        <w:tab/>
        <w:tab/>
        <w:tab/>
        <w:tab/>
        <w:tab/>
        <w:tab/>
        <w:tab/>
        <w:tab/>
        <w:tab/>
        <w:tab/>
        <w:tab/>
        <w:tab/>
        <w:t>_________________________________</w:t>
      </w:r>
    </w:p>
    <w:p>
      <w:pPr>
        <w:pStyle w:val="Normal"/>
        <w:widowControl/>
        <w:tabs>
          <w:tab w:val="clear" w:pos="720"/>
          <w:tab w:val="left" w:pos="4320" w:leader="none"/>
        </w:tabs>
        <w:jc w:val="both"/>
        <w:rPr>
          <w:rFonts w:ascii="Times New Roman" w:hAnsi="Times New Roman" w:eastAsia="Times New Roman" w:cs="Times New Roman"/>
        </w:rPr>
      </w:pPr>
      <w:r>
        <w:rPr>
          <w:rFonts w:eastAsia="Times New Roman" w:cs="Times New Roman" w:ascii="Times New Roman" w:hAnsi="Times New Roman"/>
        </w:rPr>
        <w:tab/>
        <w:t xml:space="preserve">    Michelle Dangott</w:t>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sectPr>
      <w:headerReference w:type="default" r:id="rId2"/>
      <w:footerReference w:type="default" r:id="rId3"/>
      <w:footnotePr>
        <w:numFmt w:val="decimal"/>
      </w:footnotePr>
      <w:type w:val="nextPage"/>
      <w:pgSz w:w="12240" w:h="15840"/>
      <w:pgMar w:left="1440" w:right="1440" w:gutter="0" w:header="720" w:top="1440" w:footer="72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Courier New">
    <w:charset w:val="01"/>
    <w:family w:val="modern"/>
    <w:pitch w:val="default"/>
  </w:font>
  <w:font w:name="Galliard">
    <w:charset w:val="01"/>
    <w:family w:val="roman"/>
    <w:pitch w:val="default"/>
  </w:font>
  <w:font w:name="Palatino">
    <w:altName w:val="Book Antiqua"/>
    <w:charset w:val="01"/>
    <w:family w:val="auto"/>
    <w:pitch w:val="default"/>
  </w:font>
  <w:font w:name="Times New Roman">
    <w:charset w:val="01"/>
    <w:family w:val="roman"/>
    <w:pitch w:val="variable"/>
  </w:font>
  <w:font w:name="Bookman">
    <w:altName w:val="Bookman Old Style"/>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Fonts w:ascii="Times New Roman" w:hAnsi="Times New Roman" w:eastAsia="Times New Roman" w:cs="Times New Roman"/>
                              <w:sz w:val="24"/>
                              <w:szCs w:val="24"/>
                            </w:rPr>
                          </w:pPr>
                          <w:r>
                            <w:rPr>
                              <w:rStyle w:val="PageNumber"/>
                              <w:rFonts w:eastAsia="Times New Roman" w:cs="Times New Roman" w:ascii="Times New Roman" w:hAnsi="Times New Roman"/>
                              <w:sz w:val="24"/>
                              <w:szCs w:val="24"/>
                            </w:rPr>
                            <w:fldChar w:fldCharType="begin"/>
                          </w:r>
                          <w:r>
                            <w:rPr>
                              <w:rStyle w:val="PageNumber"/>
                              <w:sz w:val="24"/>
                              <w:szCs w:val="24"/>
                              <w:rFonts w:eastAsia="Times New Roman" w:cs="Times New Roman" w:ascii="Times New Roman" w:hAnsi="Times New Roman"/>
                            </w:rPr>
                            <w:instrText xml:space="preserve"> PAGE </w:instrText>
                          </w:r>
                          <w:r>
                            <w:rPr>
                              <w:rStyle w:val="PageNumber"/>
                              <w:sz w:val="24"/>
                              <w:szCs w:val="24"/>
                              <w:rFonts w:eastAsia="Times New Roman" w:cs="Times New Roman" w:ascii="Times New Roman" w:hAnsi="Times New Roman"/>
                            </w:rPr>
                            <w:fldChar w:fldCharType="separate"/>
                          </w:r>
                          <w:r>
                            <w:rPr>
                              <w:rStyle w:val="PageNumber"/>
                              <w:sz w:val="24"/>
                              <w:szCs w:val="24"/>
                              <w:rFonts w:eastAsia="Times New Roman" w:cs="Times New Roman" w:ascii="Times New Roman" w:hAnsi="Times New Roman"/>
                            </w:rPr>
                            <w:t>9</w:t>
                          </w:r>
                          <w:r>
                            <w:rPr>
                              <w:rStyle w:val="PageNumber"/>
                              <w:sz w:val="24"/>
                              <w:szCs w:val="24"/>
                              <w:rFonts w:eastAsia="Times New Roman"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Fonts w:ascii="Times New Roman" w:hAnsi="Times New Roman" w:eastAsia="Times New Roman" w:cs="Times New Roman"/>
                        <w:sz w:val="24"/>
                        <w:szCs w:val="24"/>
                      </w:rPr>
                    </w:pPr>
                    <w:r>
                      <w:rPr>
                        <w:rStyle w:val="PageNumber"/>
                        <w:rFonts w:eastAsia="Times New Roman" w:cs="Times New Roman" w:ascii="Times New Roman" w:hAnsi="Times New Roman"/>
                        <w:sz w:val="24"/>
                        <w:szCs w:val="24"/>
                      </w:rPr>
                      <w:fldChar w:fldCharType="begin"/>
                    </w:r>
                    <w:r>
                      <w:rPr>
                        <w:rStyle w:val="PageNumber"/>
                        <w:sz w:val="24"/>
                        <w:szCs w:val="24"/>
                        <w:rFonts w:eastAsia="Times New Roman" w:cs="Times New Roman" w:ascii="Times New Roman" w:hAnsi="Times New Roman"/>
                      </w:rPr>
                      <w:instrText xml:space="preserve"> PAGE </w:instrText>
                    </w:r>
                    <w:r>
                      <w:rPr>
                        <w:rStyle w:val="PageNumber"/>
                        <w:sz w:val="24"/>
                        <w:szCs w:val="24"/>
                        <w:rFonts w:eastAsia="Times New Roman" w:cs="Times New Roman" w:ascii="Times New Roman" w:hAnsi="Times New Roman"/>
                      </w:rPr>
                      <w:fldChar w:fldCharType="separate"/>
                    </w:r>
                    <w:r>
                      <w:rPr>
                        <w:rStyle w:val="PageNumber"/>
                        <w:sz w:val="24"/>
                        <w:szCs w:val="24"/>
                        <w:rFonts w:eastAsia="Times New Roman" w:cs="Times New Roman" w:ascii="Times New Roman" w:hAnsi="Times New Roman"/>
                      </w:rPr>
                      <w:t>9</w:t>
                    </w:r>
                    <w:r>
                      <w:rPr>
                        <w:rStyle w:val="PageNumber"/>
                        <w:sz w:val="24"/>
                        <w:szCs w:val="24"/>
                        <w:rFonts w:eastAsia="Times New Roman" w:cs="Times New Roman" w:ascii="Times New Roman" w:hAnsi="Times New Roman"/>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Heading6"/>
        <w:widowControl/>
        <w:ind w:hanging="0" w:start="0"/>
        <w:jc w:val="both"/>
        <w:rPr/>
      </w:pPr>
      <w:r>
        <w:rPr>
          <w:rStyle w:val="FootnoteCharacters"/>
        </w:rPr>
        <w:footnoteRef/>
      </w:r>
      <w:r>
        <w:rPr/>
        <w:tab/>
      </w:r>
      <w:r>
        <w:rPr>
          <w:rStyle w:val="FootnoteCharacters"/>
          <w:b/>
          <w:bCs/>
          <w:u w:val="none"/>
        </w:rPr>
        <w:t>?</w:t>
      </w:r>
      <w:r>
        <w:rPr/>
        <w:t xml:space="preserve"> </w:t>
        <w:tab/>
      </w:r>
      <w:r>
        <w:rPr>
          <w:rFonts w:eastAsia="Times New Roman" w:cs="Times New Roman" w:ascii="Times New Roman" w:hAnsi="Times New Roman"/>
          <w:b w:val="false"/>
          <w:bCs w:val="false"/>
          <w:sz w:val="20"/>
          <w:szCs w:val="20"/>
        </w:rPr>
        <w:t>California Power Exchange Corporation’s Motion to Intervene and Motion for Emergency Expedited Modification of CAISO Tariff Amendment No. 33 (“PX Motion”), at p. 1.</w:t>
      </w:r>
    </w:p>
  </w:footnote>
  <w:footnote w:id="3">
    <w:p>
      <w:pPr>
        <w:pStyle w:val="FootnoteText"/>
        <w:spacing w:before="0" w:after="60"/>
        <w:jc w:val="both"/>
        <w:rPr/>
      </w:pPr>
      <w:r>
        <w:rPr>
          <w:rStyle w:val="FootnoteCharacters"/>
        </w:rPr>
        <w:footnoteRef/>
      </w:r>
      <w:r>
        <w:rPr/>
        <w:tab/>
      </w:r>
      <w:r>
        <w:rPr>
          <w:rStyle w:val="FootnoteCharacters"/>
          <w:b w:val="false"/>
          <w:bCs w:val="false"/>
          <w:u w:val="none"/>
        </w:rPr>
        <w:t>?</w:t>
      </w:r>
      <w:r>
        <w:rPr/>
        <w:t xml:space="preserve"> </w:t>
        <w:tab/>
      </w:r>
      <w:r>
        <w:rPr>
          <w:rFonts w:eastAsia="Times New Roman" w:cs="Times New Roman" w:ascii="Times New Roman" w:hAnsi="Times New Roman"/>
        </w:rPr>
        <w:t>93 FERC ¶ 61,121.  November 1, 2000 Order Proposing Remedies for California Wholesale Electric Markets (“November 1 Order”), at p. 22.</w:t>
      </w:r>
    </w:p>
  </w:footnote>
  <w:footnote w:id="4">
    <w:p>
      <w:pPr>
        <w:pStyle w:val="FootnoteText"/>
        <w:spacing w:before="0" w:after="60"/>
        <w:ind w:firstLine="720" w:end="0"/>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ab/>
        <w:t>California Independent System Operator Limited Motion for Clarification and Answer, at p. 11.</w:t>
      </w:r>
    </w:p>
  </w:footnote>
  <w:footnote w:id="5">
    <w:p>
      <w:pPr>
        <w:pStyle w:val="FootnoteText"/>
        <w:spacing w:before="0" w:after="60"/>
        <w:rPr/>
      </w:pPr>
      <w:r>
        <w:rPr>
          <w:rStyle w:val="FootnoteCharacters"/>
        </w:rPr>
        <w:footnoteRef/>
      </w:r>
      <w:r>
        <w:rPr/>
        <w:tab/>
      </w:r>
      <w:r>
        <w:rPr>
          <w:rStyle w:val="FootnoteCharacters"/>
          <w:b w:val="false"/>
          <w:bCs w:val="false"/>
          <w:u w:val="none"/>
        </w:rPr>
        <w:t>?</w:t>
      </w:r>
      <w:r>
        <w:rPr/>
        <w:t xml:space="preserve"> </w:t>
        <w:tab/>
      </w:r>
      <w:r>
        <w:rPr>
          <w:rFonts w:eastAsia="Times New Roman" w:cs="Times New Roman" w:ascii="Times New Roman" w:hAnsi="Times New Roman"/>
        </w:rPr>
        <w:t>PX Motion, at p. 2.</w:t>
      </w:r>
    </w:p>
  </w:footnote>
  <w:footnote w:id="6">
    <w:p>
      <w:pPr>
        <w:pStyle w:val="FootnoteText"/>
        <w:spacing w:before="0" w:after="60"/>
        <w:rPr/>
      </w:pPr>
      <w:r>
        <w:rPr>
          <w:rStyle w:val="FootnoteCharacters"/>
        </w:rPr>
        <w:footnoteRef/>
      </w:r>
      <w:r>
        <w:rPr/>
        <w:tab/>
      </w:r>
      <w:r>
        <w:rPr>
          <w:rStyle w:val="FootnoteCharacters"/>
          <w:b w:val="false"/>
          <w:bCs w:val="false"/>
          <w:u w:val="none"/>
        </w:rPr>
        <w:t>?</w:t>
      </w:r>
      <w:r>
        <w:rPr/>
        <w:t xml:space="preserve"> </w:t>
        <w:tab/>
      </w:r>
      <w:r>
        <w:rPr>
          <w:rFonts w:eastAsia="Times New Roman" w:cs="Times New Roman" w:ascii="Times New Roman" w:hAnsi="Times New Roman"/>
        </w:rPr>
        <w:t>PX Motion, Appendix A, at p. 2.</w:t>
      </w:r>
    </w:p>
  </w:footnote>
  <w:footnote w:id="7">
    <w:p>
      <w:pPr>
        <w:pStyle w:val="FootnoteText"/>
        <w:spacing w:before="0" w:after="60"/>
        <w:ind w:firstLine="720" w:end="0"/>
        <w:rPr/>
      </w:pPr>
      <w:r>
        <w:rPr>
          <w:rStyle w:val="FootnoteCharacters"/>
        </w:rPr>
        <w:footnoteRef/>
      </w:r>
      <w:r>
        <w:rPr>
          <w:rFonts w:eastAsia="Times New Roman" w:cs="Times New Roman" w:ascii="Times New Roman" w:hAnsi="Times New Roman"/>
        </w:rPr>
        <w:tab/>
        <w:t>ISO Limited Motion and Answer, p. 10</w:t>
      </w:r>
    </w:p>
  </w:footnote>
  <w:footnote w:id="8">
    <w:p>
      <w:pPr>
        <w:pStyle w:val="FootnoteText"/>
        <w:spacing w:before="0" w:after="60"/>
        <w:ind w:firstLine="720" w:end="0"/>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ab/>
        <w:t>Ibid. p. 3.</w:t>
      </w:r>
    </w:p>
  </w:footnote>
  <w:footnote w:id="9">
    <w:p>
      <w:pPr>
        <w:pStyle w:val="FootnoteText"/>
        <w:spacing w:before="0" w:after="60"/>
        <w:rPr/>
      </w:pPr>
      <w:r>
        <w:rPr>
          <w:rStyle w:val="FootnoteCharacters"/>
        </w:rPr>
        <w:footnoteRef/>
      </w:r>
      <w:r>
        <w:rPr/>
        <w:tab/>
      </w:r>
      <w:r>
        <w:rPr>
          <w:rStyle w:val="FootnoteCharacters"/>
          <w:b w:val="false"/>
          <w:bCs w:val="false"/>
          <w:u w:val="none"/>
        </w:rPr>
        <w:t>?</w:t>
      </w:r>
      <w:r>
        <w:rPr/>
        <w:t xml:space="preserve"> </w:t>
      </w:r>
      <w:bookmarkStart w:id="0" w:name="zImInFootnote"/>
      <w:bookmarkEnd w:id="0"/>
      <w:r>
        <w:rPr/>
        <w:tab/>
      </w:r>
      <w:r>
        <w:rPr>
          <w:rFonts w:eastAsia="Times New Roman" w:cs="Times New Roman" w:ascii="Times New Roman" w:hAnsi="Times New Roman"/>
          <w:u w:val="single"/>
        </w:rPr>
        <w:t>AES Redondo Beach, L.L.C. et al.</w:t>
      </w:r>
      <w:r>
        <w:rPr>
          <w:rFonts w:eastAsia="Times New Roman" w:cs="Times New Roman" w:ascii="Times New Roman" w:hAnsi="Times New Roman"/>
        </w:rPr>
        <w:t>, 87 FERC ¶ 61,208, at 61,818 (May 26, 1999).</w:t>
      </w:r>
    </w:p>
  </w:footnote>
  <w:footnote w:id="10">
    <w:p>
      <w:pPr>
        <w:pStyle w:val="Normal"/>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b w:val="false"/>
          <w:bCs w:val="false"/>
          <w:u w:val="none"/>
        </w:rPr>
        <w:t>?</w:t>
      </w:r>
      <w:r>
        <w:rPr>
          <w:position w:val="6"/>
        </w:rPr>
        <w:t xml:space="preserve"> </w:t>
        <w:tab/>
      </w:r>
      <w:r>
        <w:rPr>
          <w:rFonts w:eastAsia="Times New Roman" w:cs="Times New Roman" w:ascii="Times New Roman" w:hAnsi="Times New Roman"/>
          <w:position w:val="6"/>
          <w:sz w:val="20"/>
          <w:szCs w:val="20"/>
        </w:rPr>
        <w:t xml:space="preserve">November 1 Order at p. 46.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jc w:val="center"/>
      <w:outlineLvl w:val="0"/>
    </w:pPr>
    <w:rPr>
      <w:b/>
      <w:bCs/>
      <w:sz w:val="28"/>
      <w:szCs w:val="28"/>
    </w:rPr>
  </w:style>
  <w:style w:type="paragraph" w:styleId="Heading2">
    <w:name w:val="heading 2"/>
    <w:basedOn w:val="Normal"/>
    <w:next w:val="Normal"/>
    <w:qFormat/>
    <w:pPr>
      <w:keepNext w:val="true"/>
      <w:numPr>
        <w:ilvl w:val="1"/>
        <w:numId w:val="1"/>
      </w:numPr>
      <w:jc w:val="center"/>
      <w:outlineLvl w:val="1"/>
    </w:pPr>
    <w:rPr>
      <w:b/>
      <w:bCs/>
      <w:sz w:val="32"/>
      <w:szCs w:val="32"/>
    </w:rPr>
  </w:style>
  <w:style w:type="paragraph" w:styleId="Heading3">
    <w:name w:val="heading 3"/>
    <w:basedOn w:val="Normal"/>
    <w:next w:val="Normal"/>
    <w:qFormat/>
    <w:pPr>
      <w:keepNext w:val="true"/>
      <w:numPr>
        <w:ilvl w:val="2"/>
        <w:numId w:val="1"/>
      </w:numPr>
      <w:ind w:hanging="720" w:start="720" w:end="0"/>
      <w:jc w:val="both"/>
      <w:outlineLvl w:val="2"/>
    </w:pPr>
    <w:rPr>
      <w:b/>
      <w:bCs/>
      <w:smallCaps/>
    </w:rPr>
  </w:style>
  <w:style w:type="paragraph" w:styleId="Heading6">
    <w:name w:val="heading 6"/>
    <w:basedOn w:val="Normal"/>
    <w:next w:val="Normal"/>
    <w:qFormat/>
    <w:pPr>
      <w:keepNext w:val="true"/>
      <w:numPr>
        <w:ilvl w:val="5"/>
        <w:numId w:val="1"/>
      </w:numPr>
      <w:jc w:val="center"/>
      <w:outlineLvl w:val="5"/>
    </w:pPr>
    <w:rPr>
      <w:b/>
      <w:bCs/>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sz w:val="20"/>
      <w:szCs w:val="20"/>
      <w:u w:val="single"/>
      <w:vertAlign w:val="superscript"/>
    </w:rPr>
  </w:style>
  <w:style w:type="character" w:styleId="PageNumber">
    <w:name w:val="page number"/>
    <w:basedOn w:val="DefaultParagraphFont"/>
    <w:rPr>
      <w:sz w:val="20"/>
      <w:szCs w:val="20"/>
    </w:rPr>
  </w:style>
  <w:style w:type="character" w:styleId="Hyperlink">
    <w:name w:val="Hyperlink"/>
    <w:basedOn w:val="DefaultParagraphFont"/>
    <w:qFormat/>
    <w:rPr>
      <w:color w:val="0000FF"/>
      <w:sz w:val="20"/>
      <w:szCs w:val="2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6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ubleSpacing">
    <w:name w:val="Double Spacing"/>
    <w:basedOn w:val="Normal"/>
    <w:qFormat/>
    <w:pPr>
      <w:spacing w:lineRule="exact" w:line="480"/>
    </w:pPr>
    <w:rPr>
      <w:rFonts w:ascii="Courier New" w:hAnsi="Courier New" w:eastAsia="Courier New" w:cs="Courier New"/>
    </w:rPr>
  </w:style>
  <w:style w:type="paragraph" w:styleId="SingleSpacing">
    <w:name w:val="Single Spacing"/>
    <w:basedOn w:val="Normal"/>
    <w:qFormat/>
    <w:pPr>
      <w:spacing w:lineRule="exact" w:line="240"/>
    </w:pPr>
    <w:rPr>
      <w:rFonts w:ascii="Courier New" w:hAnsi="Courier New" w:eastAsia="Courier New" w:cs="Courier New"/>
    </w:rPr>
  </w:style>
  <w:style w:type="paragraph" w:styleId="BodyTextStyle">
    <w:name w:val="Body Text Style"/>
    <w:basedOn w:val="Normal"/>
    <w:qFormat/>
    <w:pPr>
      <w:spacing w:lineRule="exact" w:line="520"/>
      <w:ind w:firstLine="1080" w:start="0" w:end="0"/>
    </w:pPr>
    <w:rPr>
      <w:rFonts w:ascii="Galliard" w:hAnsi="Galliard" w:eastAsia="Galliard" w:cs="Galliard"/>
    </w:rPr>
  </w:style>
  <w:style w:type="paragraph" w:styleId="standard">
    <w:name w:val="standard"/>
    <w:basedOn w:val="Normal"/>
    <w:qFormat/>
    <w:pPr>
      <w:spacing w:lineRule="auto" w:line="360"/>
      <w:ind w:firstLine="720" w:start="0" w:end="0"/>
    </w:pPr>
    <w:rPr>
      <w:rFonts w:ascii="Palatino;Book Antiqua" w:hAnsi="Palatino;Book Antiqua" w:eastAsia="Palatino;Book Antiqua" w:cs="Palatino;Book Antiqua"/>
      <w:sz w:val="26"/>
      <w:szCs w:val="2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2000-12-13T15:58:00Z</dcterms:created>
  <dc:creator>Barbara Fetherolf</dc:creator>
  <dc:description/>
  <dc:language>en-CA</dc:language>
  <cp:lastModifiedBy>Arter &amp; Hadden</cp:lastModifiedBy>
  <cp:lastPrinted>2000-12-13T10:46:00Z</cp:lastPrinted>
  <dcterms:modified xsi:type="dcterms:W3CDTF">2000-12-13T16:48:00Z</dcterms:modified>
  <cp:revision>11</cp:revision>
  <dc:subject/>
  <dc:title>United States of America</dc:title>
</cp:coreProperties>
</file>