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b/>
          <w:bCs/>
          <w:u w:val="single"/>
        </w:rPr>
      </w:pPr>
      <w:r>
        <w:rPr>
          <w:b/>
          <w:bCs/>
          <w:u w:val="single"/>
        </w:rPr>
        <w:t>SoCalGas Advice Letter Summary</w:t>
        <w:br/>
        <w:br/>
        <w:t>December 12, 2000</w:t>
      </w:r>
    </w:p>
    <w:p>
      <w:pPr>
        <w:pStyle w:val="Body"/>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2978 and 2978-A</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12/12/00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u w:val="single"/>
              </w:rPr>
            </w:pPr>
            <w:r>
              <w:rPr>
                <w:b/>
                <w:bCs/>
                <w:u w:val="single"/>
              </w:rPr>
              <w:t>12/18/00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start="180" w:end="180"/>
              <w:jc w:val="both"/>
              <w:rPr>
                <w:b/>
                <w:bCs/>
              </w:rPr>
            </w:pPr>
            <w:r>
              <w:rPr>
                <w:b/>
                <w:bCs/>
              </w:rPr>
              <w:t>Analysis:</w:t>
            </w:r>
          </w:p>
          <w:p>
            <w:pPr>
              <w:pStyle w:val="Normal"/>
              <w:jc w:val="both"/>
              <w:rPr/>
            </w:pPr>
            <w:r>
              <w:rPr/>
              <w:t>SoCalGas filed AL 2978 on December 11 and immediately followed that filing by AL 2978-A today.  As the advice letters seek a five-day comment period, both the original and the revision are being summarized jointly.</w:t>
            </w:r>
          </w:p>
          <w:p>
            <w:pPr>
              <w:pStyle w:val="Normal"/>
              <w:jc w:val="both"/>
              <w:rPr/>
            </w:pPr>
            <w:r>
              <w:rPr/>
            </w:r>
          </w:p>
          <w:p>
            <w:pPr>
              <w:pStyle w:val="Normal"/>
              <w:jc w:val="both"/>
              <w:rPr/>
            </w:pPr>
            <w:r>
              <w:rPr/>
              <w:t xml:space="preserve">In Advice No. 2978, SoCalGas requested authority to permit all existing interruptible noncore customers (and firm customers as their firm contracts expire) to elect core subscription service in accordance with the terms of SoCalGas Schedule G-CS, but also requested a Commission finding that core subscription customers electing such service to begin or after January 1, 2001, should be allocated all incremental costs incurred by SoCalGas to provide them core subscription service.  The single exception to this rule was for wholesale customer electing core subscription service, who would be permitted to elect such service at the same cost and under the same terms as SoCalGas’ existing core subscription customers.  </w:t>
            </w:r>
          </w:p>
          <w:p>
            <w:pPr>
              <w:pStyle w:val="Normal"/>
              <w:jc w:val="both"/>
              <w:rPr/>
            </w:pPr>
            <w:r>
              <w:rPr/>
            </w:r>
          </w:p>
          <w:p>
            <w:pPr>
              <w:pStyle w:val="Normal"/>
              <w:jc w:val="both"/>
              <w:rPr/>
            </w:pPr>
            <w:r>
              <w:rPr/>
              <w:t>By the supplement 2978-A, SoCalGas clarifies that only wholesale core load of SoCalGas can elect core subscription service under the same terms and conditions as SoCalGas’ existing core subscription customers.  Specifically, only wholesale core load making this election would not be charged the “CSIN” rate to reflect SoCalGas’ incremental cost of acquiring gas on their behalf, but instead would be charged the “CSAV” rate.  Wholesale noncore load (including wholesale core subscription load) electing SoCalGas’ core subscription service would be charged the CSIN rate.</w:t>
            </w:r>
          </w:p>
          <w:p>
            <w:pPr>
              <w:pStyle w:val="Normal"/>
              <w:jc w:val="both"/>
              <w:rPr/>
            </w:pPr>
            <w:r>
              <w:rPr/>
            </w:r>
          </w:p>
        </w:tc>
      </w:tr>
    </w:tbl>
    <w:p>
      <w:pPr>
        <w:pStyle w:val="Body"/>
        <w:spacing w:before="0" w:after="0"/>
        <w:ind w:hanging="0" w:end="0"/>
        <w:jc w:val="center"/>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2979 and 2979-A</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SoCalGas</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12/12/00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u w:val="single"/>
              </w:rPr>
            </w:pPr>
            <w:r>
              <w:rPr>
                <w:b/>
                <w:bCs/>
                <w:u w:val="single"/>
              </w:rPr>
              <w:t>12/18/00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ind w:hanging="0" w:end="180"/>
              <w:jc w:val="both"/>
              <w:rPr>
                <w:b/>
                <w:bCs/>
              </w:rPr>
            </w:pPr>
            <w:r>
              <w:rPr>
                <w:b/>
                <w:bCs/>
              </w:rPr>
              <w:t>Analysis:</w:t>
            </w:r>
          </w:p>
          <w:p>
            <w:pPr>
              <w:pStyle w:val="Normal"/>
              <w:jc w:val="both"/>
              <w:rPr/>
            </w:pPr>
            <w:r>
              <w:rPr/>
              <w:t>As with the advice letters above, SoCalGas filed AL 2979 on December 11 and immediately followed that filing by AL 2979-A today.  As these advice letters also seek a five-day comment period, both the original and the revision are being summarized jointly.</w:t>
            </w:r>
          </w:p>
          <w:p>
            <w:pPr>
              <w:pStyle w:val="Normal"/>
              <w:jc w:val="both"/>
              <w:rPr/>
            </w:pPr>
            <w:r>
              <w:rPr/>
            </w:r>
          </w:p>
          <w:p>
            <w:pPr>
              <w:pStyle w:val="Normal"/>
              <w:jc w:val="both"/>
              <w:rPr/>
            </w:pPr>
            <w:r>
              <w:rPr/>
              <w:t xml:space="preserve">Advice No. 2979 requested that the Commission issue a resolution authorizing SoCalGas to allow eligible noncore customers to elect traditional core procurement and transportation service, but any noncore customer electing such service should be charged SoCalGas’ incremental cost of acquiring gas to provide this service. </w:t>
            </w:r>
          </w:p>
          <w:p>
            <w:pPr>
              <w:pStyle w:val="Normal"/>
              <w:jc w:val="both"/>
              <w:rPr/>
            </w:pPr>
            <w:r>
              <w:rPr/>
            </w:r>
          </w:p>
          <w:p>
            <w:pPr>
              <w:pStyle w:val="Normal"/>
              <w:jc w:val="both"/>
              <w:rPr/>
            </w:pPr>
            <w:r>
              <w:rPr/>
              <w:t xml:space="preserve">By the supplemental advice letter, SoCalGas clarifies that noncore customers electing core service should be permitted to elect core transportation-only service, but should be required to take such service under SoCalGas Schedule GT-10N and should not be permitted to acquire an assignment of SoCalGas’ existing interstate pipeline capacity because SoCalGas does not have any excess interstate pipeline capacity rights and because currently there is no interstate pipeline capacity available for SoCalGas to acquire for assignment to such customers. To the extent that interstate pipeline capacity becomes available for customers electing core transportation-only service, SoCalGas would be willing to assign such capacity to these customers as long as these customers are made fully responsible for all costs associated with such capacity. </w:t>
            </w:r>
          </w:p>
          <w:p>
            <w:pPr>
              <w:pStyle w:val="Normal"/>
              <w:jc w:val="both"/>
              <w:rPr/>
            </w:pPr>
            <w:r>
              <w:rPr/>
            </w:r>
          </w:p>
        </w:tc>
      </w:tr>
    </w:tbl>
    <w:p>
      <w:pPr>
        <w:pStyle w:val="Body"/>
        <w:spacing w:before="0" w:after="0"/>
        <w:ind w:hanging="0" w:end="0"/>
        <w:jc w:val="center"/>
        <w:rPr>
          <w:b/>
          <w:bCs/>
          <w:u w:val="single"/>
        </w:rPr>
      </w:pPr>
      <w:r>
        <w:rPr>
          <w:b/>
          <w:bCs/>
          <w:u w:val="single"/>
        </w:rPr>
      </w:r>
    </w:p>
    <w:p>
      <w:pPr>
        <w:pStyle w:val="Body"/>
        <w:spacing w:before="0" w:after="240"/>
        <w:ind w:hanging="0" w:end="0"/>
        <w:jc w:val="center"/>
        <w:rPr>
          <w:b/>
          <w:bCs/>
          <w:u w:val="single"/>
        </w:rPr>
      </w:pPr>
      <w:r>
        <w:rPr>
          <w:b/>
          <w:bCs/>
          <w:u w:val="single"/>
        </w:rPr>
      </w:r>
    </w:p>
    <w:sectPr>
      <w:headerReference w:type="default" r:id="rId2"/>
      <w:headerReference w:type="first" r:id="rId3"/>
      <w:footerReference w:type="default" r:id="rId4"/>
      <w:footerReference w:type="first" r:id="rId5"/>
      <w:type w:val="nextPage"/>
      <w:pgSz w:w="12240" w:h="15840"/>
      <w:pgMar w:left="1440" w:right="1440" w:gutter="0" w:header="720" w:top="1152" w:footer="432"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SoCalGas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PlainText">
    <w:name w:val="Plain Text"/>
    <w:basedOn w:val="Normal"/>
    <w:qFormat/>
    <w:pPr>
      <w:widowControl w:val="false"/>
      <w:spacing w:lineRule="auto" w:line="360"/>
      <w:ind w:firstLine="720" w:start="0" w:end="0"/>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2000-12-12T23:44:00Z</dcterms:created>
  <dc:creator>Arter &amp; Hadden</dc:creator>
  <dc:description/>
  <dc:language>en-CA</dc:language>
  <cp:lastModifiedBy>Arter &amp; Hadden</cp:lastModifiedBy>
  <cp:lastPrinted>2000-12-12T18:15:00Z</cp:lastPrinted>
  <dcterms:modified xsi:type="dcterms:W3CDTF">2000-12-12T23:45:00Z</dcterms:modified>
  <cp:revision>3</cp:revision>
  <dc:subject/>
  <dc:title>A</dc:title>
</cp:coreProperties>
</file>