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08/29/2001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INTERNATIONAL PAPER COMPANY, a corporation organized under the law of the State of New York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 xml:space="preserve"> </w:t>
      </w:r>
      <w:r>
        <w:rPr>
          <w:sz w:val="22"/>
          <w:szCs w:val="22"/>
        </w:rPr>
        <w:t>(b)</w:t>
        <w:tab/>
        <w:t>The “</w:t>
      </w:r>
      <w:r>
        <w:rPr>
          <w:b/>
          <w:bCs/>
          <w:sz w:val="22"/>
          <w:szCs w:val="22"/>
        </w:rPr>
        <w:t>Cross Default”</w:t>
      </w:r>
      <w:r>
        <w:rPr>
          <w:sz w:val="22"/>
          <w:szCs w:val="22"/>
        </w:rPr>
        <w:t xml:space="preserve"> provisions of Section 5(a)(vi) will apply to Party A, and will apply to Party B.  </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$30,000,000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 xml:space="preserve"> </w:t>
      </w: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New York.</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International Paper Company</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#2 Manhattanville Road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Purchase, New York 10577</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b/>
          <w:bCs/>
          <w:sz w:val="22"/>
          <w:szCs w:val="22"/>
        </w:rPr>
      </w:pPr>
      <w:r>
        <w:rPr>
          <w:b/>
          <w:bCs/>
          <w:sz w:val="22"/>
          <w:szCs w:val="22"/>
        </w:rPr>
      </w:r>
    </w:p>
    <w:p>
      <w:pPr>
        <w:pStyle w:val="Normal"/>
        <w:keepNext w:val="true"/>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sz w:val="22"/>
          <w:szCs w:val="22"/>
        </w:rPr>
      </w:pPr>
      <w:r>
        <w:rPr>
          <w:sz w:val="22"/>
          <w:szCs w:val="22"/>
        </w:rPr>
      </w:r>
    </w:p>
    <w:p>
      <w:pPr>
        <w:pStyle w:val="Normal"/>
        <w:keepNext w:val="true"/>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keepNext w:val="true"/>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INTERNATIONAL PAPER COMPANY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INTERNATIONAL PAPER COMPANY, a corporation organized under the law of the State of  New York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keepNext w:val="true"/>
        <w:ind w:start="720" w:end="0"/>
        <w:jc w:val="both"/>
        <w:rPr>
          <w:color w:val="FF0000"/>
          <w:sz w:val="22"/>
          <w:szCs w:val="22"/>
        </w:rPr>
      </w:pPr>
      <w:r>
        <w:rPr>
          <w:color w:val="000000"/>
          <w:sz w:val="22"/>
          <w:szCs w:val="22"/>
        </w:rPr>
        <w:t xml:space="preserve"> </w:t>
      </w:r>
      <w:r>
        <w:rPr>
          <w:color w:val="000000"/>
          <w:sz w:val="22"/>
          <w:szCs w:val="22"/>
        </w:rPr>
        <w:t xml:space="preserve">(B)  </w:t>
      </w:r>
      <w:r>
        <w:rPr>
          <w:b/>
          <w:bCs/>
          <w:color w:val="000000"/>
          <w:sz w:val="22"/>
          <w:szCs w:val="22"/>
        </w:rPr>
        <w:t>“Threshold”</w:t>
      </w:r>
      <w:r>
        <w:rPr>
          <w:color w:val="000000"/>
          <w:sz w:val="22"/>
          <w:szCs w:val="22"/>
        </w:rPr>
        <w:t xml:space="preserve"> means: (1) with respect to Party A, (a) U.S. $50,000,000 or (b) an Event of Default or Potential Event of Default with respect to Party A has occurred and is continuing; and (2) with respect to Party B, (a) the amount set forth opposite the lowest Credit Rating for Party B on the relevant date of determination; or (b) zero if on the relevant date of determination (i) Party B above does not have a Credit Rating from S&amp;P, or (ii) an Event of Default or Potential Event of Default with respect to Party B has occurred and is continuing:</w:t>
      </w:r>
    </w:p>
    <w:p>
      <w:pPr>
        <w:pStyle w:val="Normal"/>
        <w:keepNext w:val="true"/>
        <w:ind w:hanging="720" w:start="2160" w:end="0"/>
        <w:jc w:val="both"/>
        <w:rPr>
          <w:color w:val="FF0000"/>
          <w:sz w:val="22"/>
          <w:szCs w:val="22"/>
        </w:rPr>
      </w:pPr>
      <w:r>
        <w:rPr>
          <w:color w:val="FF0000"/>
          <w:sz w:val="22"/>
          <w:szCs w:val="22"/>
        </w:rPr>
      </w:r>
    </w:p>
    <w:tbl>
      <w:tblPr>
        <w:tblW w:w="5040" w:type="dxa"/>
        <w:jc w:val="start"/>
        <w:tblInd w:w="2088" w:type="dxa"/>
        <w:tblLayout w:type="fixed"/>
        <w:tblCellMar>
          <w:top w:w="0" w:type="dxa"/>
          <w:start w:w="108" w:type="dxa"/>
          <w:bottom w:w="0" w:type="dxa"/>
          <w:end w:w="108" w:type="dxa"/>
        </w:tblCellMar>
      </w:tblPr>
      <w:tblGrid>
        <w:gridCol w:w="2520"/>
        <w:gridCol w:w="2520"/>
      </w:tblGrid>
      <w:tr>
        <w:trPr/>
        <w:tc>
          <w:tcPr>
            <w:tcW w:w="2520" w:type="dxa"/>
            <w:tcBorders/>
          </w:tcPr>
          <w:p>
            <w:pPr>
              <w:pStyle w:val="Normal"/>
              <w:keepNext w:val="true"/>
              <w:rPr>
                <w:sz w:val="22"/>
                <w:szCs w:val="22"/>
              </w:rPr>
            </w:pPr>
            <w:r>
              <w:rPr>
                <w:b/>
                <w:bCs/>
                <w:sz w:val="22"/>
                <w:szCs w:val="22"/>
                <w:u w:val="single"/>
              </w:rPr>
              <w:t>PARTY B THRESHOLD</w:t>
            </w:r>
          </w:p>
        </w:tc>
        <w:tc>
          <w:tcPr>
            <w:tcW w:w="2520" w:type="dxa"/>
            <w:tcBorders/>
          </w:tcPr>
          <w:p>
            <w:pPr>
              <w:pStyle w:val="BodyTextIndent2"/>
              <w:keepNext w:val="true"/>
              <w:ind w:hanging="0" w:end="0"/>
              <w:rPr>
                <w:rFonts w:ascii="Times New Roman" w:hAnsi="Times New Roman" w:cs="Times New Roman"/>
                <w:b/>
                <w:bCs/>
                <w:u w:val="single"/>
              </w:rPr>
            </w:pPr>
            <w:r>
              <w:rPr>
                <w:rFonts w:cs="Times New Roman" w:ascii="Times New Roman" w:hAnsi="Times New Roman"/>
                <w:b/>
                <w:bCs/>
                <w:u w:val="single"/>
              </w:rPr>
              <w:t>S&amp;P CREDIT RATING</w:t>
            </w:r>
          </w:p>
          <w:p>
            <w:pPr>
              <w:pStyle w:val="Normal"/>
              <w:keepNext w:val="true"/>
              <w:ind w:start="-18" w:end="0"/>
              <w:rPr>
                <w:rFonts w:ascii="Times New Roman" w:hAnsi="Times New Roman" w:cs="Times New Roman"/>
                <w:b/>
                <w:bCs/>
                <w:sz w:val="22"/>
                <w:szCs w:val="22"/>
                <w:u w:val="single"/>
              </w:rPr>
            </w:pPr>
            <w:r>
              <w:rPr>
                <w:rFonts w:cs="Times New Roman"/>
                <w:b/>
                <w:bCs/>
                <w:sz w:val="22"/>
                <w:szCs w:val="22"/>
                <w:u w:val="single"/>
              </w:rPr>
            </w:r>
          </w:p>
        </w:tc>
      </w:tr>
      <w:tr>
        <w:trPr/>
        <w:tc>
          <w:tcPr>
            <w:tcW w:w="2520" w:type="dxa"/>
            <w:tcBorders/>
          </w:tcPr>
          <w:p>
            <w:pPr>
              <w:pStyle w:val="Normal"/>
              <w:keepNext w:val="true"/>
              <w:rPr>
                <w:sz w:val="22"/>
                <w:szCs w:val="22"/>
              </w:rPr>
            </w:pPr>
            <w:r>
              <w:rPr>
                <w:sz w:val="22"/>
                <w:szCs w:val="22"/>
              </w:rPr>
              <w:t>U.S. $75,000,000</w:t>
            </w:r>
          </w:p>
        </w:tc>
        <w:tc>
          <w:tcPr>
            <w:tcW w:w="2520" w:type="dxa"/>
            <w:tcBorders/>
          </w:tcPr>
          <w:p>
            <w:pPr>
              <w:pStyle w:val="Normal"/>
              <w:keepNext w:val="true"/>
              <w:ind w:start="-18" w:end="0"/>
              <w:rPr>
                <w:sz w:val="22"/>
                <w:szCs w:val="22"/>
              </w:rPr>
            </w:pPr>
            <w:r>
              <w:rPr>
                <w:sz w:val="22"/>
                <w:szCs w:val="22"/>
              </w:rPr>
              <w:t>A- or above</w:t>
            </w:r>
          </w:p>
        </w:tc>
      </w:tr>
      <w:tr>
        <w:trPr/>
        <w:tc>
          <w:tcPr>
            <w:tcW w:w="2520" w:type="dxa"/>
            <w:tcBorders/>
          </w:tcPr>
          <w:p>
            <w:pPr>
              <w:pStyle w:val="Normal"/>
              <w:keepNext w:val="true"/>
              <w:rPr>
                <w:sz w:val="22"/>
                <w:szCs w:val="22"/>
              </w:rPr>
            </w:pPr>
            <w:r>
              <w:rPr>
                <w:sz w:val="22"/>
                <w:szCs w:val="22"/>
              </w:rPr>
              <w:t>U.S. $50,000,000</w:t>
            </w:r>
          </w:p>
        </w:tc>
        <w:tc>
          <w:tcPr>
            <w:tcW w:w="2520" w:type="dxa"/>
            <w:tcBorders/>
          </w:tcPr>
          <w:p>
            <w:pPr>
              <w:pStyle w:val="Normal"/>
              <w:keepNext w:val="true"/>
              <w:ind w:start="-18" w:end="0"/>
              <w:rPr>
                <w:sz w:val="22"/>
                <w:szCs w:val="22"/>
              </w:rPr>
            </w:pPr>
            <w:r>
              <w:rPr>
                <w:sz w:val="22"/>
                <w:szCs w:val="22"/>
              </w:rPr>
              <w:t>BBB+</w:t>
            </w:r>
          </w:p>
        </w:tc>
      </w:tr>
      <w:tr>
        <w:trPr/>
        <w:tc>
          <w:tcPr>
            <w:tcW w:w="2520" w:type="dxa"/>
            <w:tcBorders/>
          </w:tcPr>
          <w:p>
            <w:pPr>
              <w:pStyle w:val="Normal"/>
              <w:keepNext w:val="true"/>
              <w:rPr>
                <w:sz w:val="22"/>
                <w:szCs w:val="22"/>
              </w:rPr>
            </w:pPr>
            <w:r>
              <w:rPr>
                <w:sz w:val="22"/>
                <w:szCs w:val="22"/>
              </w:rPr>
              <w:t>U.S. $30,000,000</w:t>
            </w:r>
          </w:p>
        </w:tc>
        <w:tc>
          <w:tcPr>
            <w:tcW w:w="2520" w:type="dxa"/>
            <w:tcBorders/>
          </w:tcPr>
          <w:p>
            <w:pPr>
              <w:pStyle w:val="Normal"/>
              <w:keepNext w:val="true"/>
              <w:ind w:start="-18" w:end="0"/>
              <w:rPr>
                <w:sz w:val="22"/>
                <w:szCs w:val="22"/>
              </w:rPr>
            </w:pPr>
            <w:r>
              <w:rPr>
                <w:sz w:val="22"/>
                <w:szCs w:val="22"/>
              </w:rPr>
              <w:t>BBB</w:t>
            </w:r>
          </w:p>
        </w:tc>
      </w:tr>
      <w:tr>
        <w:trPr/>
        <w:tc>
          <w:tcPr>
            <w:tcW w:w="2520" w:type="dxa"/>
            <w:tcBorders/>
          </w:tcPr>
          <w:p>
            <w:pPr>
              <w:pStyle w:val="Normal"/>
              <w:keepNext w:val="true"/>
              <w:rPr>
                <w:sz w:val="22"/>
                <w:szCs w:val="22"/>
              </w:rPr>
            </w:pPr>
            <w:r>
              <w:rPr>
                <w:sz w:val="22"/>
                <w:szCs w:val="22"/>
              </w:rPr>
              <w:t>U.S. $10,000,000</w:t>
            </w:r>
          </w:p>
        </w:tc>
        <w:tc>
          <w:tcPr>
            <w:tcW w:w="2520" w:type="dxa"/>
            <w:tcBorders/>
          </w:tcPr>
          <w:p>
            <w:pPr>
              <w:pStyle w:val="Normal"/>
              <w:keepNext w:val="true"/>
              <w:ind w:start="-18" w:end="0"/>
              <w:rPr>
                <w:sz w:val="22"/>
                <w:szCs w:val="22"/>
              </w:rPr>
            </w:pPr>
            <w:r>
              <w:rPr>
                <w:sz w:val="22"/>
                <w:szCs w:val="22"/>
              </w:rPr>
              <w:t>BBB-</w:t>
            </w:r>
          </w:p>
        </w:tc>
      </w:tr>
      <w:tr>
        <w:trPr/>
        <w:tc>
          <w:tcPr>
            <w:tcW w:w="2520" w:type="dxa"/>
            <w:tcBorders/>
          </w:tcPr>
          <w:p>
            <w:pPr>
              <w:pStyle w:val="Normal"/>
              <w:keepNext w:val="true"/>
              <w:rPr>
                <w:sz w:val="22"/>
                <w:szCs w:val="22"/>
              </w:rPr>
            </w:pPr>
            <w:r>
              <w:rPr>
                <w:sz w:val="22"/>
                <w:szCs w:val="22"/>
              </w:rPr>
              <w:t>U.S. $0</w:t>
            </w:r>
          </w:p>
        </w:tc>
        <w:tc>
          <w:tcPr>
            <w:tcW w:w="2520" w:type="dxa"/>
            <w:tcBorders/>
          </w:tcPr>
          <w:p>
            <w:pPr>
              <w:pStyle w:val="Normal"/>
              <w:keepNext w:val="true"/>
              <w:ind w:start="-18" w:end="0"/>
              <w:rPr>
                <w:sz w:val="22"/>
                <w:szCs w:val="22"/>
              </w:rPr>
            </w:pPr>
            <w:r>
              <w:rPr>
                <w:sz w:val="22"/>
                <w:szCs w:val="22"/>
              </w:rPr>
              <w:t>BB+</w:t>
            </w:r>
          </w:p>
        </w:tc>
      </w:tr>
    </w:tbl>
    <w:p>
      <w:pPr>
        <w:pStyle w:val="Normal"/>
        <w:ind w:start="720" w:end="0"/>
        <w:jc w:val="both"/>
        <w:rPr>
          <w:color w:val="000000"/>
          <w:sz w:val="22"/>
          <w:szCs w:val="22"/>
        </w:rPr>
      </w:pPr>
      <w:r>
        <w:rPr>
          <w:b/>
          <w:bCs/>
          <w:color w:val="000000"/>
          <w:sz w:val="22"/>
          <w:szCs w:val="22"/>
        </w:rPr>
        <w:t xml:space="preserve"> </w:t>
      </w:r>
    </w:p>
    <w:p>
      <w:pPr>
        <w:pStyle w:val="Normal"/>
        <w:ind w:start="720" w:end="0"/>
        <w:jc w:val="both"/>
        <w:rPr/>
      </w:pPr>
      <w:r>
        <w:rPr>
          <w:sz w:val="22"/>
          <w:szCs w:val="22"/>
        </w:rPr>
        <w:t xml:space="preserve"> </w:t>
      </w: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Normal"/>
        <w:ind w:start="1080" w:end="0"/>
        <w:jc w:val="both"/>
        <w:rPr>
          <w:sz w:val="22"/>
          <w:szCs w:val="22"/>
        </w:rPr>
      </w:pPr>
      <w:r>
        <w:rPr>
          <w:sz w:val="22"/>
          <w:szCs w:val="22"/>
        </w:rPr>
        <w:t xml:space="preserve">  </w:t>
      </w:r>
    </w:p>
    <w:p>
      <w:pPr>
        <w:pStyle w:val="Normal"/>
        <w:ind w:start="1080" w:end="0"/>
        <w:jc w:val="both"/>
        <w:rPr>
          <w:sz w:val="22"/>
        </w:rPr>
      </w:pPr>
      <w:r>
        <w:rPr>
          <w:sz w:val="22"/>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w:t>
      </w:r>
      <w:r>
        <w:rPr>
          <w:sz w:val="22"/>
          <w:szCs w:val="22"/>
        </w:rPr>
        <w:t xml:space="preserve"> and the lowest Credit Rating for it is “BB+” or higher by S&amp;P.</w:t>
      </w:r>
    </w:p>
    <w:p>
      <w:pPr>
        <w:pStyle w:val="Normal"/>
        <w:ind w:start="1080" w:end="0"/>
        <w:jc w:val="both"/>
        <w:rPr>
          <w:sz w:val="22"/>
          <w:szCs w:val="22"/>
        </w:rPr>
      </w:pPr>
      <w:r>
        <w:rPr>
          <w:sz w:val="22"/>
          <w:szCs w:val="22"/>
        </w:rPr>
        <w:t xml:space="preserve"> </w:t>
      </w:r>
      <w:r>
        <w:rPr>
          <w:color w:val="FF0000"/>
          <w:sz w:val="22"/>
          <w:szCs w:val="22"/>
        </w:rPr>
        <w:t xml:space="preserve"> </w:t>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
        <w:spacing w:lineRule="auto" w:line="240"/>
        <w:ind w:start="1080" w:end="0"/>
        <w:rPr/>
      </w:pPr>
      <w:r>
        <w:rPr/>
      </w:r>
    </w:p>
    <w:p>
      <w:pPr>
        <w:pStyle w:val="Normal"/>
        <w:ind w:start="1080" w:end="0"/>
        <w:jc w:val="both"/>
        <w:rPr>
          <w:color w:val="0000FF"/>
          <w:sz w:val="22"/>
          <w:szCs w:val="22"/>
        </w:rPr>
      </w:pPr>
      <w:r>
        <w:rPr>
          <w:color w:val="0000FF"/>
          <w:sz w:val="22"/>
          <w:szCs w:val="22"/>
        </w:rPr>
      </w:r>
    </w:p>
    <w:p>
      <w:pPr>
        <w:pStyle w:val="BodyTextIndent3"/>
        <w:keepNext w:val="true"/>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BodyTextIndent3"/>
        <w:ind w:hanging="0" w:end="0"/>
        <w:rPr/>
      </w:pPr>
      <w:r>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(h)</w:t>
        <w:tab/>
      </w:r>
      <w:r>
        <w:rPr>
          <w:b/>
          <w:bCs/>
          <w:sz w:val="22"/>
          <w:szCs w:val="22"/>
        </w:rPr>
        <w:t>Distributions and Interest Amount.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 xml:space="preserve"> </w:t>
      </w: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 xml:space="preserve"> “</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 xml:space="preserve"> “</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A, its Credit Support Provider’s Credit Rating is below “BBB-” by S&amp;P or its Credit Support Provider fails to have a Credit Rating from S&amp;P.</w:t>
      </w:r>
    </w:p>
    <w:p>
      <w:pPr>
        <w:pStyle w:val="Normal"/>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keepNext w:val="true"/>
        <w:ind w:start="720" w:end="0"/>
        <w:jc w:val="both"/>
        <w:rPr>
          <w:sz w:val="22"/>
          <w:szCs w:val="22"/>
        </w:rPr>
      </w:pPr>
      <w:r>
        <w:rPr>
          <w:sz w:val="22"/>
          <w:szCs w:val="22"/>
        </w:rPr>
        <w:t>(ii)  Paragraph 6(d)(i) is hereby amended by adding the following sentence:</w:t>
      </w:r>
    </w:p>
    <w:p>
      <w:pPr>
        <w:pStyle w:val="Normal"/>
        <w:keepNext w:val="true"/>
        <w:ind w:hanging="720" w:start="720" w:end="0"/>
        <w:jc w:val="both"/>
        <w:rPr>
          <w:sz w:val="22"/>
          <w:szCs w:val="22"/>
        </w:rPr>
      </w:pPr>
      <w:r>
        <w:rPr>
          <w:sz w:val="22"/>
          <w:szCs w:val="22"/>
        </w:rPr>
      </w:r>
    </w:p>
    <w:p>
      <w:pPr>
        <w:pStyle w:val="BodyTextIndent3"/>
        <w:keepNext w:val="true"/>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spacing w:lineRule="atLeast" w:line="240"/>
        <w:ind w:start="720" w:end="144"/>
        <w:jc w:val="both"/>
        <w:rPr>
          <w:b/>
          <w:bCs/>
          <w:sz w:val="22"/>
          <w:szCs w:val="22"/>
        </w:rPr>
      </w:pPr>
      <w:r>
        <w:rPr>
          <w:b/>
          <w:bCs/>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color w:val="FF0000"/>
          <w:sz w:val="22"/>
          <w:szCs w:val="22"/>
          <w:u w:val="single"/>
        </w:rPr>
      </w:pPr>
      <w:r>
        <w:rPr>
          <w:b/>
          <w:bCs/>
          <w:color w:val="FF0000"/>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INTERNATIONAL PAPER COMPANY, a New York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International Paper Company</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#2 Manhattanville Road</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Purchase, New York 10577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 xml:space="preserve">Attn.:  </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keepNext w:val="true"/>
        <w:spacing w:lineRule="exact" w:line="240" w:before="240" w:after="0"/>
        <w:jc w:val="both"/>
        <w:rPr>
          <w:color w:val="FF0000"/>
          <w:sz w:val="22"/>
          <w:szCs w:val="22"/>
        </w:rPr>
      </w:pPr>
      <w:r>
        <w:rPr>
          <w:color w:val="FF0000"/>
          <w:sz w:val="22"/>
          <w:szCs w:val="22"/>
        </w:rPr>
      </w:r>
    </w:p>
    <w:p>
      <w:pPr>
        <w:pStyle w:val="Normal"/>
        <w:keepNext w:val="true"/>
        <w:jc w:val="center"/>
        <w:rPr>
          <w:color w:val="FF0000"/>
          <w:sz w:val="22"/>
          <w:szCs w:val="22"/>
        </w:rPr>
      </w:pPr>
      <w:r>
        <w:rPr>
          <w:color w:val="FF0000"/>
          <w:sz w:val="22"/>
          <w:szCs w:val="22"/>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/mnt/main-storage/datasets/enron-docs/doc/125B_ctr_international_paper_.doc</w:t>
    </w:r>
    <w:r>
      <w:rPr>
        <w:rStyle w:val="PageNumber"/>
        <w:sz w:val="16"/>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/mnt/main-storage/datasets/enron-docs/doc/125B_ctr_international_paper_.doc</w:t>
    </w:r>
    <w:r>
      <w:rPr>
        <w:sz w:val="16"/>
        <w:szCs w:val="16"/>
      </w:rPr>
      <w:fldChar w:fldCharType="end"/>
    </w:r>
  </w:p>
  <w:p>
    <w:pPr>
      <w:pStyle w:val="Footer"/>
      <w:jc w:val="center"/>
      <w:rPr>
        <w:sz w:val="20"/>
      </w:rPr>
    </w:pPr>
    <w:r>
      <w:rPr>
        <w:sz w:val="20"/>
      </w:rPr>
      <w:t>Annex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/mnt/main-storage/datasets/enron-docs/doc/125B_ctr_international_paper_.doc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/mnt/main-storage/datasets/enron-docs/doc/125B_ctr_international_paper_.doc</w:t>
    </w:r>
    <w:r>
      <w:rPr>
        <w:rStyle w:val="PageNumber"/>
        <w:sz w:val="16"/>
        <w:szCs w:val="16"/>
      </w:rPr>
      <w:fldChar w:fldCharType="end"/>
    </w:r>
  </w:p>
  <w:p>
    <w:pPr>
      <w:pStyle w:val="Footer"/>
      <w:jc w:val="center"/>
      <w:rPr/>
    </w:pPr>
    <w:r>
      <w:rPr>
        <w:rStyle w:val="PageNumber"/>
        <w:sz w:val="20"/>
        <w:szCs w:val="16"/>
      </w:rPr>
      <w:t>Schedule 1</w:t>
    </w:r>
  </w:p>
  <w:p>
    <w:pPr>
      <w:pStyle w:val="Footer"/>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/mnt/main-storage/datasets/enron-docs/doc/125B_ctr_international_paper_.doc</w:t>
    </w:r>
    <w:r>
      <w:rPr>
        <w:rStyle w:val="PageNumber"/>
        <w:sz w:val="16"/>
        <w:szCs w:val="16"/>
      </w:rPr>
      <w:fldChar w:fldCharType="end"/>
    </w:r>
  </w:p>
  <w:p>
    <w:pPr>
      <w:pStyle w:val="Footer"/>
      <w:jc w:val="center"/>
      <w:rPr/>
    </w:pPr>
    <w:r>
      <w:rPr>
        <w:rStyle w:val="PageNumber"/>
        <w:sz w:val="20"/>
        <w:szCs w:val="16"/>
      </w:rPr>
      <w:t>Exhibit A</w:t>
    </w:r>
  </w:p>
  <w:p>
    <w:pPr>
      <w:pStyle w:val="Footer"/>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2001-08-29T18:51:00Z</dcterms:created>
  <dc:creator>mheard</dc:creator>
  <dc:description/>
  <dc:language>en-CA</dc:language>
  <cp:lastModifiedBy>sbaile2</cp:lastModifiedBy>
  <cp:lastPrinted>2001-08-29T16:50:00Z</cp:lastPrinted>
  <dcterms:modified xsi:type="dcterms:W3CDTF">2001-08-29T19:34:00Z</dcterms:modified>
  <cp:revision>10</cp:revision>
  <dc:subject/>
  <dc:title>ISDA Multicurrency Agreement</dc:title>
</cp:coreProperties>
</file>