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Execution Copy</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July 11,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MEDIA GENERAL INC., a corporation organized under the law of the Commonwealth of Virginia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Section 5(a)(vi) is hereby amended by inserting the following immediately before the word “or” at the end of clause (1) thereof:  “and provided that if such Specified Indebtedness has not become or been declared due and payable but has only become capable of being declared due and payable, five Business Days shall have elapsed since the occurrence of such default, event of default or other similar condition or event”.</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$25,000,000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720" w:end="720"/>
        <w:jc w:val="both"/>
        <w:rPr>
          <w:color w:val="800080"/>
          <w:sz w:val="22"/>
        </w:rPr>
      </w:pPr>
      <w:r>
        <w:rPr>
          <w:sz w:val="22"/>
        </w:rPr>
        <w:t>Party B is a corporation organized under the laws of the Commonwealth of Virginia.</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jc w:val="both"/>
        <w:rPr>
          <w:sz w:val="22"/>
        </w:rPr>
      </w:pPr>
      <w:r>
        <w:rPr>
          <w:sz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60 days after the end of each of its first three fiscal quarters of each fiscal year of Party B, if such Financial Statement is not available on “EDGAR”</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r>
        <w:br w:type="page"/>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Media General Inc.</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333 E. Franklin Street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Richmond, Virginia 23219</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Attn.:  Marshall Morton, </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          </w:t>
            </w:r>
            <w:r>
              <w:rPr>
                <w:sz w:val="22"/>
              </w:rPr>
              <w:t>Chief Financial Officer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(804) 649-6898</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(804) 649-6328</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rPr>
        <w:t>(i)</w:t>
        <w:tab/>
      </w:r>
      <w:r>
        <w:rPr>
          <w:b/>
          <w:sz w:val="22"/>
        </w:rPr>
        <w:t>Process Agent.</w:t>
      </w:r>
      <w:r>
        <w:rPr>
          <w:sz w:val="22"/>
        </w:rPr>
        <w:t xml:space="preserve">  Party A appoints as its Process Agent, The Corporation Trust Company, having an office in Wilmington, Delaware on the date of this Agreement at Corporation Trust Center, 1209 Orange Street, Wilmington, Delaware 19801.  Party B appoints as its Process Agent, George Mahoney, General Counsel, Media General Inc., having an office on the date of this Agreement at 333 E. Franklin Street, Richmond, Virginia  23219.</w:t>
      </w:r>
    </w:p>
    <w:p>
      <w:pPr>
        <w:pStyle w:val="Normal"/>
        <w:keepNext w:val="true"/>
        <w:spacing w:lineRule="exact" w:line="240" w:before="480" w:after="0"/>
        <w:jc w:val="both"/>
        <w:rPr>
          <w:b/>
          <w:sz w:val="22"/>
        </w:rPr>
      </w:pPr>
      <w:r>
        <w:rPr>
          <w:b/>
          <w:sz w:val="22"/>
        </w:rPr>
        <w:t>Part 5.  Other Provisions.</w:t>
      </w:r>
    </w:p>
    <w:p>
      <w:pPr>
        <w:pStyle w:val="Normal"/>
        <w:keepNext w:val="true"/>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other than as covered by (ii) above,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  A transfer pursuant to this Section shall release the transferor from further liability under this Agreement.”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color w:val="800080"/>
          <w:sz w:val="22"/>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color w:val="FF0000"/>
          <w:sz w:val="22"/>
        </w:rPr>
      </w:pPr>
      <w:r>
        <w:rPr>
          <w:sz w:val="22"/>
        </w:rPr>
        <w:t>(n)</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sz w:val="22"/>
        </w:rPr>
      </w:pPr>
      <w:r>
        <w:rPr>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sz w:val="22"/>
              </w:rPr>
              <w:t>ENRON NORTH AMERICA CORP.</w:t>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MEDIA GENERAL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July 11, 2000</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MEDIA GENERAL INC., a corporation organized under the law of the Commonwealth of Virginia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$20,000,000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rPr>
      </w:pPr>
      <w:r>
        <w:rPr>
          <w:sz w:val="22"/>
        </w:rPr>
        <w:t>(iv)  The provisions of Paragraph 5(i)(B) are hereby amended by inserting the following immediately before the word “and” in line 5 thereof:</w:t>
      </w:r>
    </w:p>
    <w:p>
      <w:pPr>
        <w:pStyle w:val="Normal"/>
        <w:spacing w:before="240" w:after="0"/>
        <w:ind w:start="720" w:end="0"/>
        <w:jc w:val="both"/>
        <w:rPr>
          <w:sz w:val="22"/>
        </w:rPr>
      </w:pPr>
      <w:r>
        <w:rPr>
          <w:sz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numPr>
          <w:ilvl w:val="0"/>
          <w:numId w:val="4"/>
        </w:numPr>
        <w:tabs>
          <w:tab w:val="clear" w:pos="720"/>
          <w:tab w:val="left" w:pos="1080" w:leader="none"/>
        </w:tabs>
        <w:ind w:hanging="0" w:start="1080" w:end="0"/>
        <w:rPr/>
      </w:pPr>
      <w:r>
        <w:rPr/>
        <w:t>Posted Collateral may be held only in the following jurisdictions:  Any jurisdiction within the  United States.</w:t>
      </w:r>
    </w:p>
    <w:p>
      <w:pPr>
        <w:pStyle w:val="BodyTextIndent"/>
        <w:numPr>
          <w:ilvl w:val="0"/>
          <w:numId w:val="4"/>
        </w:numPr>
        <w:tabs>
          <w:tab w:val="clear" w:pos="720"/>
          <w:tab w:val="left" w:pos="1080" w:leader="none"/>
        </w:tabs>
        <w:ind w:hanging="0" w:start="1080" w:end="0"/>
        <w:rPr/>
      </w:pPr>
      <w:r>
        <w:rPr/>
        <w:t>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1080" w:end="0"/>
        <w:jc w:val="both"/>
        <w:rPr>
          <w:color w:val="0000FF"/>
          <w:sz w:val="22"/>
        </w:rPr>
      </w:pPr>
      <w:r>
        <w:rPr>
          <w:color w:val="0000FF"/>
          <w:sz w:val="22"/>
        </w:rPr>
      </w:r>
    </w:p>
    <w:p>
      <w:pPr>
        <w:pStyle w:val="Normal"/>
        <w:ind w:start="1080" w:end="0"/>
        <w:jc w:val="both"/>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exact" w:line="240" w:before="240" w:after="0"/>
        <w:ind w:start="720" w:end="0"/>
        <w:jc w:val="both"/>
        <w:rPr>
          <w:i/>
          <w:i/>
          <w:sz w:val="22"/>
        </w:rPr>
      </w:pPr>
      <w:r>
        <w:rPr>
          <w:b/>
          <w:sz w:val="22"/>
        </w:rPr>
        <w:t>“</w:t>
      </w:r>
      <w:r>
        <w:rPr>
          <w:b/>
          <w:sz w:val="22"/>
        </w:rPr>
        <w:t>Depreciation, Depletion and Amortization Expense”</w:t>
      </w:r>
      <w:r>
        <w:rPr>
          <w:sz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rPr>
      </w:pPr>
      <w:r>
        <w:rPr>
          <w:b/>
          <w:i/>
          <w:sz w:val="22"/>
        </w:rPr>
      </w:r>
    </w:p>
    <w:p>
      <w:pPr>
        <w:pStyle w:val="BodyText"/>
        <w:ind w:start="720" w:end="0"/>
        <w:jc w:val="both"/>
        <w:rPr/>
      </w:pPr>
      <w:r>
        <w:rPr>
          <w:b/>
        </w:rPr>
        <w:t>“</w:t>
      </w:r>
      <w:r>
        <w:rPr>
          <w:b/>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jc w:val="both"/>
        <w:rPr>
          <w:b/>
          <w:sz w:val="22"/>
        </w:rPr>
      </w:pPr>
      <w:r>
        <w:rPr>
          <w:b/>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GAAP”</w:t>
      </w:r>
      <w:r>
        <w:rPr>
          <w:sz w:val="22"/>
        </w:rPr>
        <w:t xml:space="preserve"> means generally accepted accounting principles that are generally accepted in the country in which the applicable party is organized and on a basis consistent with prior periods.</w:t>
      </w:r>
    </w:p>
    <w:p>
      <w:pPr>
        <w:pStyle w:val="BodyText"/>
        <w:ind w:start="720" w:end="0"/>
        <w:jc w:val="both"/>
        <w:rPr>
          <w:sz w:val="22"/>
        </w:rPr>
      </w:pPr>
      <w:r>
        <w:rPr>
          <w:sz w:val="22"/>
        </w:rPr>
      </w:r>
    </w:p>
    <w:p>
      <w:pPr>
        <w:pStyle w:val="Normal"/>
        <w:ind w:start="720" w:end="0"/>
        <w:jc w:val="both"/>
        <w:rPr>
          <w:b/>
          <w:sz w:val="22"/>
        </w:rPr>
      </w:pPr>
      <w:r>
        <w:rPr>
          <w:b/>
          <w:sz w:val="22"/>
        </w:rPr>
        <w:t>“</w:t>
      </w:r>
      <w:r>
        <w:rPr>
          <w:b/>
          <w:sz w:val="22"/>
        </w:rPr>
        <w:t>Interest Coverage Ratio”</w:t>
      </w:r>
      <w:r>
        <w:rPr>
          <w:sz w:val="22"/>
        </w:rPr>
        <w:t xml:space="preserve"> means, with respect to any period, the ratio of (i) EBITDA for such period to (ii) the aggregate amount of Interest Expense for such period.</w:t>
      </w:r>
    </w:p>
    <w:p>
      <w:pPr>
        <w:pStyle w:val="Normal"/>
        <w:ind w:start="720" w:end="0"/>
        <w:jc w:val="both"/>
        <w:rPr>
          <w:b/>
          <w:sz w:val="22"/>
        </w:rPr>
      </w:pPr>
      <w:r>
        <w:rPr>
          <w:b/>
          <w:sz w:val="22"/>
        </w:rPr>
      </w:r>
    </w:p>
    <w:p>
      <w:pPr>
        <w:pStyle w:val="Normal"/>
        <w:ind w:start="720" w:end="0"/>
        <w:jc w:val="both"/>
        <w:rPr/>
      </w:pPr>
      <w:r>
        <w:rPr>
          <w:b/>
          <w:sz w:val="22"/>
        </w:rPr>
        <w:t>“</w:t>
      </w:r>
      <w:r>
        <w:rPr>
          <w:b/>
          <w:sz w:val="22"/>
        </w:rPr>
        <w:t>Interest Expense”</w:t>
      </w:r>
      <w:r>
        <w:rPr>
          <w:sz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(b) with respect to Party B, it shall have any of the following occur at any time:  (i) the ratio of its Total Debt to Net Worth is more than 1.5 to 1.0, or (ii) its Net Worth falls below U.S. $900,000,000, or (iii) its Interest Coverage Ratio shall be less than 3.0 to 1.0.</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Net Income”</w:t>
      </w:r>
      <w:r>
        <w:rPr>
          <w:sz w:val="22"/>
        </w:rPr>
        <w:t xml:space="preserve"> means consolidated net income of Party B determined in accordance with GAAP.</w:t>
      </w:r>
    </w:p>
    <w:p>
      <w:pPr>
        <w:pStyle w:val="Justified"/>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Net Worth”</w:t>
      </w:r>
      <w:r>
        <w:rPr>
          <w:sz w:val="22"/>
        </w:rPr>
        <w:t xml:space="preserve"> means consolidated total assets of Party B, minus the consolidated total liabilities of Party B, each as would be reflected on a consolidated balance sheet of Party B prepared in accordance with GAAP.</w:t>
      </w:r>
    </w:p>
    <w:p>
      <w:pPr>
        <w:pStyle w:val="Normal"/>
        <w:ind w:start="720" w:end="0"/>
        <w:jc w:val="both"/>
        <w:rPr>
          <w:b/>
          <w:sz w:val="22"/>
        </w:rPr>
      </w:pPr>
      <w:r>
        <w:rPr>
          <w:b/>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spacing w:lineRule="atLeast" w:line="240"/>
        <w:ind w:start="720" w:end="144"/>
        <w:jc w:val="both"/>
        <w:rPr/>
      </w:pPr>
      <w:r>
        <w:rPr>
          <w:b/>
          <w:sz w:val="22"/>
        </w:rPr>
        <w:t>“</w:t>
      </w:r>
      <w:r>
        <w:rPr>
          <w:b/>
          <w:sz w:val="22"/>
        </w:rPr>
        <w:t>Total Debt”</w:t>
      </w:r>
      <w:r>
        <w:rPr>
          <w:sz w:val="22"/>
        </w:rPr>
        <w:t xml:space="preserve"> means consolidated indebtedness of Party B.</w:t>
      </w:r>
    </w:p>
    <w:p>
      <w:pPr>
        <w:pStyle w:val="Normal"/>
        <w:ind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720" w:end="0"/>
        <w:jc w:val="both"/>
        <w:rPr>
          <w:sz w:val="22"/>
        </w:rPr>
      </w:pPr>
      <w:r>
        <w:rPr>
          <w:sz w:val="22"/>
        </w:rPr>
        <w:t>(iii)  Paragraph 7(i) is hereby amended by deleting the words “Eligible Collateral” and replacing them with the words “Eligible Credit Support.”</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sz w:val="22"/>
        </w:rPr>
      </w:pPr>
      <w:r>
        <w:rPr>
          <w:sz w:val="22"/>
        </w:rPr>
        <w:t>[Address]</w:t>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2"/>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jc w:val="center"/>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July 11,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MEDIA GENERAL INC., a Virginia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Media General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333 E. Franklin Street</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Richmond, Virginia  23219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Marshall Morton, Chief Financial Officer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(804) 649-6328</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IN WITNESS WHEREOF, the Guarantor has executed this Guaranty on </w:t>
        <w:tab/>
        <w:t>July 11,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keepNext w:val="true"/>
        <w:ind w:firstLine="720" w:start="4320" w:end="0"/>
        <w:jc w:val="center"/>
        <w:rPr/>
      </w:pPr>
      <w:r>
        <w:rPr>
          <w:sz w:val="22"/>
        </w:rPr>
        <w:t xml:space="preserve">Title:  </w:t>
      </w:r>
      <w:r>
        <w:rPr>
          <w:sz w:val="22"/>
          <w:u w:val="single"/>
        </w:rPr>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O:\Legal\Sbailey\Ctr\122ctr.doc</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O:\Legal\Sbailey\Ctr\122ctr.doc</w:t>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O:\Legal\Sbailey\Ctr\122ctr.doc</w:t>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O:\Legal\Sbailey\Ctr\122ctr.doc</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O:\Legal\Sbailey\Ctr\122ctr.doc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O:\Legal\Sbailey\Ctr\122ctr.doc</w:t>
    </w:r>
  </w:p>
  <w:p>
    <w:pPr>
      <w:pStyle w:val="Normal"/>
      <w:jc w:val="center"/>
      <w:rPr/>
    </w:pPr>
    <w:r>
      <w:rPr/>
      <w:t>Exhibit A</w:t>
    </w:r>
  </w:p>
  <w:p>
    <w:pPr>
      <w:pStyle w:val="Normal"/>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48" w:leader="none"/>
        <w:tab w:val="right" w:pos="8712" w:leader="none"/>
      </w:tabs>
      <w:spacing w:lineRule="exact" w:line="240"/>
      <w:ind w:start="-576" w:end="-1800"/>
      <w:rPr>
        <w:rFonts w:ascii="MS LineDraw;Courier New" w:hAnsi="MS LineDraw;Courier New" w:cs="MS LineDraw;Courier New"/>
        <w:sz w:val="24"/>
      </w:rPr>
    </w:pPr>
    <w:r>
      <w:rPr>
        <w:rFonts w:cs="MS LineDraw;Courier New" w:ascii="MS LineDraw;Courier New" w:hAnsi="MS LineDraw;Courier New"/>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abstractNum w:abstractNumId="4">
    <w:lvl w:ilvl="0">
      <w:start w:val="2"/>
      <w:numFmt w:val="decimal"/>
      <w:lvlText w:val="(%1)"/>
      <w:lvlJc w:val="start"/>
      <w:pPr>
        <w:tabs>
          <w:tab w:val="num" w:pos="1485"/>
        </w:tabs>
        <w:ind w:start="1485" w:hanging="40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WW8Num5z0">
    <w:name w:val="WW8Num5z0"/>
    <w:qFormat/>
    <w:rPr/>
  </w:style>
  <w:style w:type="character" w:styleId="WW8Num6z0">
    <w:name w:val="WW8Num6z0"/>
    <w:qFormat/>
    <w:rPr/>
  </w:style>
  <w:style w:type="character" w:styleId="WW8Num7z0">
    <w:name w:val="WW8Num7z0"/>
    <w:qFormat/>
    <w:rPr>
      <w:sz w:val="20"/>
    </w:rPr>
  </w:style>
  <w:style w:type="character" w:styleId="WW8Num10z0">
    <w:name w:val="WW8Num10z0"/>
    <w:qFormat/>
    <w:rPr/>
  </w:style>
  <w:style w:type="character" w:styleId="WW8Num13z0">
    <w:name w:val="WW8Num13z0"/>
    <w:qFormat/>
    <w:rPr>
      <w:sz w:val="22"/>
    </w:rPr>
  </w:style>
  <w:style w:type="character" w:styleId="WW8Num15z0">
    <w:name w:val="WW8Num15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color w:val="000000"/>
    </w:rPr>
  </w:style>
  <w:style w:type="character" w:styleId="WW8Num24z0">
    <w:name w:val="WW8Num2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spacing w:lineRule="exact" w:line="240" w:before="240" w:after="0"/>
      <w:ind w:hanging="0" w:start="720" w:end="0"/>
      <w:jc w:val="both"/>
    </w:pPr>
    <w:rPr>
      <w:sz w:val="22"/>
    </w:rPr>
  </w:style>
  <w:style w:type="paragraph" w:styleId="BlockText">
    <w:name w:val="Block Text"/>
    <w:basedOn w:val="Normal"/>
    <w:qFormat/>
    <w:pPr>
      <w:ind w:firstLine="720" w:start="720" w:end="72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2000-07-12T19:14:00Z</dcterms:created>
  <dc:creator>mheard</dc:creator>
  <dc:description/>
  <dc:language>en-CA</dc:language>
  <cp:lastModifiedBy>tjones</cp:lastModifiedBy>
  <cp:lastPrinted>2000-07-13T08:19:00Z</cp:lastPrinted>
  <dcterms:modified xsi:type="dcterms:W3CDTF">2000-07-13T10:49:00Z</dcterms:modified>
  <cp:revision>7</cp:revision>
  <dc:subject/>
  <dc:title>ISDA Multicurrency Agreement</dc:title>
</cp:coreProperties>
</file>