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ECAR On-Peak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/>
      </w:pPr>
      <w:r>
        <w:rPr>
          <w:sz w:val="20"/>
        </w:rPr>
        <w:t xml:space="preserve">For each Calculation Period, the average of the prices for Electricity as listed in the Daily Price Indexes section opposite the caption “Into Cinergy” and under the heading, “On-Peak” in </w:t>
      </w:r>
      <w:r>
        <w:rPr>
          <w:sz w:val="20"/>
          <w:u w:val="single"/>
        </w:rPr>
        <w:t>Power Market Week’s</w:t>
      </w:r>
      <w:r>
        <w:rPr>
          <w:sz w:val="20"/>
        </w:rPr>
        <w:t xml:space="preserve"> </w:t>
      </w:r>
      <w:r>
        <w:rPr>
          <w:sz w:val="20"/>
          <w:u w:val="single"/>
        </w:rPr>
        <w:t>Daily Price Report</w:t>
      </w:r>
      <w:r>
        <w:rPr>
          <w:sz w:val="20"/>
        </w:rPr>
        <w:t>,, or its successors, as published by The McGraw-Hill Companies, Inc., or its successors, for each day during such Calculation Period in which such price is published.</w:t>
      </w:r>
      <w:r>
        <w:rPr>
          <w:color w:val="FF0000"/>
          <w:sz w:val="20"/>
        </w:rPr>
        <w:t xml:space="preserve"> </w:t>
      </w:r>
    </w:p>
    <w:p>
      <w:pPr>
        <w:pStyle w:val="BodyText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BodyText"/>
        <w:rPr>
          <w:sz w:val="20"/>
        </w:rPr>
      </w:pPr>
      <w:r>
        <w:rPr>
          <w:b/>
          <w:sz w:val="20"/>
        </w:rPr>
        <w:t>MAIN On-Peak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>
          <w:sz w:val="20"/>
        </w:rPr>
        <w:t xml:space="preserve">For each Calculation Period, the average of the prices for Electricity as listed in the Daily Price Indexes section opposite the caption “Into ComEd” and under the heading, “On-Peak” in </w:t>
      </w:r>
      <w:r>
        <w:rPr>
          <w:sz w:val="20"/>
          <w:u w:val="single"/>
        </w:rPr>
        <w:t>Power Market Week’s</w:t>
      </w:r>
      <w:r>
        <w:rPr>
          <w:sz w:val="20"/>
        </w:rPr>
        <w:t xml:space="preserve"> </w:t>
      </w:r>
      <w:r>
        <w:rPr>
          <w:sz w:val="20"/>
          <w:u w:val="single"/>
        </w:rPr>
        <w:t>Daily Price Report</w:t>
      </w:r>
      <w:r>
        <w:rPr>
          <w:sz w:val="20"/>
        </w:rPr>
        <w:t>, or its successors, as published by The McGraw-Hill Companies, Inc., or its successors, for each day during such Calculation Period in which such price is published.</w:t>
      </w:r>
      <w:r>
        <w:rPr>
          <w:color w:val="FF0000"/>
          <w:sz w:val="20"/>
        </w:rPr>
        <w:t xml:space="preserve"> </w:t>
      </w:r>
    </w:p>
    <w:p>
      <w:pPr>
        <w:pStyle w:val="BodyText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t>SERC- On-Peak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/>
      </w:pPr>
      <w:r>
        <w:rPr>
          <w:sz w:val="20"/>
        </w:rPr>
        <w:t xml:space="preserve">For each Calculation Period, the average of the prices for Electricity as listed in the Daily Price Indexes section opposite the caption “Into TVA” and under the heading, “On-Peak” in </w:t>
      </w:r>
      <w:r>
        <w:rPr>
          <w:sz w:val="20"/>
          <w:u w:val="single"/>
        </w:rPr>
        <w:t>Power Market Week’s</w:t>
      </w:r>
      <w:r>
        <w:rPr>
          <w:sz w:val="20"/>
        </w:rPr>
        <w:t xml:space="preserve"> </w:t>
      </w:r>
      <w:r>
        <w:rPr>
          <w:sz w:val="20"/>
          <w:u w:val="single"/>
        </w:rPr>
        <w:t>Daily Price Report</w:t>
      </w:r>
      <w:r>
        <w:rPr>
          <w:sz w:val="20"/>
        </w:rPr>
        <w:t>,, or its successors, as published by The McGraw-Hill Companies, Inc., or its successors, for each day during such Calculation Period in which such price is published.</w:t>
      </w:r>
      <w:r>
        <w:rPr>
          <w:color w:val="FF0000"/>
          <w:sz w:val="20"/>
        </w:rPr>
        <w:t xml:space="preserve"> </w:t>
      </w:r>
    </w:p>
    <w:p>
      <w:pPr>
        <w:pStyle w:val="BodyText"/>
        <w:rPr>
          <w:b/>
          <w:color w:val="FF0000"/>
          <w:sz w:val="20"/>
        </w:rPr>
      </w:pPr>
      <w:r>
        <w:rPr>
          <w:b/>
          <w:color w:val="FF0000"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both"/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1999-12-15T12:40:00Z</dcterms:created>
  <dc:creator>ddupre2</dc:creator>
  <dc:description/>
  <dc:language>en-CA</dc:language>
  <cp:lastModifiedBy>ddupre2</cp:lastModifiedBy>
  <cp:lastPrinted>1999-12-08T13:52:00Z</cp:lastPrinted>
  <dcterms:modified xsi:type="dcterms:W3CDTF">1999-12-15T12:41:00Z</dcterms:modified>
  <cp:revision>3</cp:revision>
  <dc:subject/>
  <dc:title>Added: 10/18/1999</dc:title>
</cp:coreProperties>
</file>