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Corp. shares your serious concerns related to the current situation in California energy markets and stand ready to work with you on solving the key problems.  We ask that you join us in seeking a resolution that will protect and benefit consumers in both the short and long-term.</w:t>
      </w:r>
    </w:p>
    <w:p>
      <w:pPr>
        <w:pStyle w:val="BodyText"/>
        <w:rPr/>
      </w:pPr>
      <w:r>
        <w:rPr/>
      </w:r>
    </w:p>
    <w:p>
      <w:pPr>
        <w:pStyle w:val="BodyText"/>
        <w:rPr/>
      </w:pPr>
      <w:r>
        <w:rPr/>
        <w:t>Unfortunately, the set of events that have unfolded over the past days and weeks in California have prompted precipitous action such as yesterday’s announcement by the Secretary of the U.S. Department of Energy that he would invoke emergency powers.  While well-intentioned and sincerely designed to benefit consumers, these types of actions, of which there have been many over the past few months, serve only to exacerbate the problems facing California consumers.  These actions are based on an incomplete set of facts.  Any solution should be compared against the following lens – does it increase supply or decrease demand.</w:t>
      </w:r>
    </w:p>
    <w:p>
      <w:pPr>
        <w:pStyle w:val="BodyText"/>
        <w:rPr/>
      </w:pPr>
      <w:r>
        <w:rPr/>
      </w:r>
    </w:p>
    <w:p>
      <w:pPr>
        <w:pStyle w:val="BodyText"/>
        <w:rPr/>
      </w:pPr>
      <w:r>
        <w:rPr/>
        <w:t>We are, collectively, capable of crafting thoughtful solutions that will serve to alleviate the short-term problems related to the adequacy of power supply in California while also creating long-lasting solutions.  The current environment of finger pointing and hasty decision-making is not conducive to that type of resolution.  These precipitous and ill-advised actions have consistently been taken without consulting with stakeholders that could have offered solutions and a more complete understanding of the facts.</w:t>
      </w:r>
    </w:p>
    <w:p>
      <w:pPr>
        <w:pStyle w:val="BodyText"/>
        <w:rPr/>
      </w:pPr>
      <w:r>
        <w:rPr/>
      </w:r>
    </w:p>
    <w:p>
      <w:pPr>
        <w:pStyle w:val="BodyText"/>
        <w:rPr/>
      </w:pPr>
      <w:r>
        <w:rPr/>
        <w:t xml:space="preserve">An understanding of the facts is critical.  Careful and fact-based decision-making does not mean delay.  We applaud the Federal Energy Regulatory Commission for acting quickly on the variety of complaints filed in response to the price spikes experienced in California this past summer.  The Commission proposes a number of actions that will remove many of the underlying issues causing the energy crisis in the Western States.  While a number of proposals made in their November 1 order are inappropriate, such as wholesale price caps, on the whole the Commission’s actions were positive and bold.  Price Caps are a “blunt instrument” that has caused problems not only in California but also in the entire West.  For example, price caps have caused badly needed peaking generators to be cancelled in California.  The elimination of price caps in Western markets is just one of several steps that can be taken to resolve the crisis without negatively affecting consumers in the long-term.  Importantly, the Commission’s actions were based on consideration of the facts gathered through their public processes and by their staff.  </w:t>
      </w:r>
    </w:p>
    <w:p>
      <w:pPr>
        <w:pStyle w:val="BodyText"/>
        <w:rPr/>
      </w:pPr>
      <w:r>
        <w:rPr/>
      </w:r>
    </w:p>
    <w:p>
      <w:pPr>
        <w:pStyle w:val="BodyText"/>
        <w:rPr/>
      </w:pPr>
      <w:r>
        <w:rPr/>
        <w:t>We also suggest the following actions in the short-term:</w:t>
      </w:r>
    </w:p>
    <w:p>
      <w:pPr>
        <w:pStyle w:val="BodyText"/>
        <w:rPr/>
      </w:pPr>
      <w:r>
        <w:rPr/>
      </w:r>
    </w:p>
    <w:p>
      <w:pPr>
        <w:pStyle w:val="BodyText"/>
        <w:rPr/>
      </w:pPr>
      <w:r>
        <w:rPr/>
      </w:r>
    </w:p>
    <w:p>
      <w:pPr>
        <w:pStyle w:val="BodyText"/>
        <w:numPr>
          <w:ilvl w:val="0"/>
          <w:numId w:val="1"/>
        </w:numPr>
        <w:tabs>
          <w:tab w:val="clear" w:pos="720"/>
          <w:tab w:val="left" w:pos="1080" w:leader="none"/>
        </w:tabs>
        <w:ind w:hanging="360" w:start="1080" w:end="0"/>
        <w:rPr/>
      </w:pPr>
      <w:r>
        <w:rPr/>
        <w:t>Provide certainty to the utilities in California that their forward contracting efforts will be found prudent.   Relying on a portfolio of long-term (5-10 years), mid-term (1-5 years) and short-term (1 year – day ahead), will mitigate the price spikes currently affecting California ratepayers while balancing the interests of future ratepayers.  Mechanisms such as real-time, on-line, auctions can be put in place to mitigate concerns that a finding of prudence will eliminate utility incentives to get the best price for power.</w:t>
      </w:r>
    </w:p>
    <w:p>
      <w:pPr>
        <w:pStyle w:val="BodyText"/>
        <w:rPr/>
      </w:pPr>
      <w:r>
        <w:rPr/>
      </w:r>
    </w:p>
    <w:p>
      <w:pPr>
        <w:pStyle w:val="BodyText"/>
        <w:numPr>
          <w:ilvl w:val="0"/>
          <w:numId w:val="1"/>
        </w:numPr>
        <w:tabs>
          <w:tab w:val="clear" w:pos="720"/>
          <w:tab w:val="left" w:pos="1080" w:leader="none"/>
        </w:tabs>
        <w:ind w:hanging="360" w:start="1080" w:end="0"/>
        <w:rPr/>
      </w:pPr>
      <w:r>
        <w:rPr/>
        <w:t>Have the CPUC order that utility under collection will be substantially recovered over some reasonable time frame to ensure investors and lenders that utilities will be solvent.</w:t>
      </w:r>
    </w:p>
    <w:p>
      <w:pPr>
        <w:pStyle w:val="BodyText"/>
        <w:rPr/>
      </w:pPr>
      <w:r>
        <w:rPr/>
      </w:r>
    </w:p>
    <w:p>
      <w:pPr>
        <w:pStyle w:val="BodyText"/>
        <w:numPr>
          <w:ilvl w:val="0"/>
          <w:numId w:val="1"/>
        </w:numPr>
        <w:tabs>
          <w:tab w:val="clear" w:pos="720"/>
          <w:tab w:val="left" w:pos="1080" w:leader="none"/>
        </w:tabs>
        <w:ind w:hanging="360" w:start="1080" w:end="0"/>
        <w:rPr/>
      </w:pPr>
      <w:r>
        <w:rPr/>
        <w:t>The California Electricity Oversight Board should bring together environmental agencies to provide for increased energy production from existing faciltiies without harming the environment.</w:t>
      </w:r>
    </w:p>
    <w:p>
      <w:pPr>
        <w:pStyle w:val="BodyText"/>
        <w:rPr/>
      </w:pPr>
      <w:r>
        <w:rPr/>
      </w:r>
    </w:p>
    <w:p>
      <w:pPr>
        <w:pStyle w:val="BodyText"/>
        <w:numPr>
          <w:ilvl w:val="0"/>
          <w:numId w:val="1"/>
        </w:numPr>
        <w:tabs>
          <w:tab w:val="clear" w:pos="720"/>
          <w:tab w:val="left" w:pos="1080" w:leader="none"/>
        </w:tabs>
        <w:ind w:hanging="360" w:start="1080" w:end="0"/>
        <w:rPr/>
      </w:pPr>
      <w:r>
        <w:rPr/>
        <w:t>The California Electricity Oversight Board should immediately develop mechanisms to provide credit support or develop credit facilities for the California ISO and PX to remove current impediments for transacting with these key institutions.  While the rate increase referred to above should eliminate some of the utilities’ exposure and concerns with solvency, additional credit support may be necessary to allow unimpeded power flows to the ISO.</w:t>
      </w:r>
    </w:p>
    <w:p>
      <w:pPr>
        <w:pStyle w:val="BodyText"/>
        <w:rPr/>
      </w:pPr>
      <w:r>
        <w:rPr/>
      </w:r>
    </w:p>
    <w:p>
      <w:pPr>
        <w:pStyle w:val="BodyText"/>
        <w:rPr/>
      </w:pPr>
      <w:r>
        <w:rPr/>
        <w:t>Over the longer-term—i.e., the next 12 months, we also urge you to support broader electricity restructuring of the industry to provide for real fixes. Further, we urge you to continue your efforts to remove bottlenecks to developing new generating plants, including siting and interconnection.</w:t>
      </w:r>
    </w:p>
    <w:p>
      <w:pPr>
        <w:pStyle w:val="BodyText"/>
        <w:rPr/>
      </w:pPr>
      <w:r>
        <w:rPr/>
      </w:r>
    </w:p>
    <w:p>
      <w:pPr>
        <w:pStyle w:val="BodyText"/>
        <w:rPr/>
      </w:pPr>
      <w:r>
        <w:rPr/>
        <w:t>Enron has already offered energy to the California ISO that was generated within California.  That offer was rejected by the ISO.</w:t>
      </w:r>
    </w:p>
    <w:p>
      <w:pPr>
        <w:pStyle w:val="BodyText"/>
        <w:rPr/>
      </w:pPr>
      <w:r>
        <w:rPr/>
      </w:r>
    </w:p>
    <w:p>
      <w:pPr>
        <w:pStyle w:val="BodyText"/>
        <w:rPr/>
      </w:pPr>
      <w:r>
        <w:rPr/>
        <w:t xml:space="preserve">Together with other industry participants and consumers we can develop and implement solutions that protect the interests of consumers throughout the West.  The time has come to react to crisis with facts and thoughtfulness.   I am available at your convenience to discuss any of these matters further.  Thank you for your consideration of this letter.  </w:t>
      </w:r>
    </w:p>
    <w:p>
      <w:pPr>
        <w:pStyle w:val="BodyText"/>
        <w:rPr/>
      </w:pPr>
      <w:r>
        <w:rPr/>
      </w:r>
    </w:p>
    <w:p>
      <w:pPr>
        <w:pStyle w:val="BodyText"/>
        <w:rPr/>
      </w:pPr>
      <w:r>
        <w:rPr/>
        <w:t xml:space="preserve">Sincerely, </w:t>
      </w:r>
    </w:p>
    <w:p>
      <w:pPr>
        <w:pStyle w:val="BodyText"/>
        <w:rPr/>
      </w:pPr>
      <w:r>
        <w:rPr/>
      </w:r>
    </w:p>
    <w:p>
      <w:pPr>
        <w:pStyle w:val="BodyText"/>
        <w:rPr/>
      </w:pPr>
      <w:r>
        <w:rPr/>
        <w:t>Jeff Skilling</w:t>
      </w:r>
    </w:p>
    <w:p>
      <w:pPr>
        <w:pStyle w:val="Normal"/>
        <w:spacing w:lineRule="atLeast" w:line="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2000-12-14T17:26:00Z</dcterms:created>
  <dc:creator>mhain</dc:creator>
  <dc:description/>
  <dc:language>en-CA</dc:language>
  <cp:lastModifiedBy>Cindy Derecskey</cp:lastModifiedBy>
  <cp:lastPrinted>2000-12-14T18:00:00Z</cp:lastPrinted>
  <dcterms:modified xsi:type="dcterms:W3CDTF">2000-12-14T21:32:00Z</dcterms:modified>
  <cp:revision>8</cp:revision>
  <dc:subject/>
  <dc:title>As you know, yesterday the State of California was essentially on the verge of martial law</dc:title>
</cp:coreProperties>
</file>