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bar"/>
        <w:rPr>
          <w:sz w:val="24"/>
        </w:rPr>
      </w:pPr>
      <w:r>
        <w:rPr>
          <w:sz w:val="24"/>
        </w:rPr>
        <w:t>BEFORE THE PUBLIC UTILITIES COMMISSION OF THE STATE OF CALIFORNIA</w:t>
      </w:r>
    </w:p>
    <w:p>
      <w:pPr>
        <w:pStyle w:val="Normal"/>
        <w:suppressAutoHyphens w:val="true"/>
        <w:rPr>
          <w:sz w:val="24"/>
        </w:rPr>
      </w:pPr>
      <w:r>
        <w:rPr>
          <w:sz w:val="24"/>
        </w:rPr>
      </w:r>
    </w:p>
    <w:tbl>
      <w:tblPr>
        <w:tblW w:w="9558" w:type="dxa"/>
        <w:jc w:val="start"/>
        <w:tblInd w:w="0" w:type="dxa"/>
        <w:tblLayout w:type="fixed"/>
        <w:tblCellMar>
          <w:top w:w="0" w:type="dxa"/>
          <w:start w:w="108" w:type="dxa"/>
          <w:bottom w:w="0" w:type="dxa"/>
          <w:end w:w="108" w:type="dxa"/>
        </w:tblCellMar>
      </w:tblPr>
      <w:tblGrid>
        <w:gridCol w:w="5508"/>
        <w:gridCol w:w="4050"/>
      </w:tblGrid>
      <w:tr>
        <w:trPr/>
        <w:tc>
          <w:tcPr>
            <w:tcW w:w="5508" w:type="dxa"/>
            <w:tcBorders>
              <w:bottom w:val="single" w:sz="6" w:space="0" w:color="000000"/>
              <w:end w:val="single" w:sz="6" w:space="0" w:color="000000"/>
            </w:tcBorders>
          </w:tcPr>
          <w:p>
            <w:pPr>
              <w:pStyle w:val="Normal"/>
              <w:tabs>
                <w:tab w:val="clear" w:pos="720"/>
                <w:tab w:val="left" w:pos="1440" w:leader="none"/>
                <w:tab w:val="left" w:pos="3600" w:leader="none"/>
              </w:tabs>
              <w:rPr/>
            </w:pPr>
            <w:r>
              <w:rPr/>
              <w:t>Investigation on the Commission’s Own Motion to Consider the Costs and Benefits of Various Promising Revisions to the Regulatory and Market Structure Governing California’s Natural Gas Industry and to Report to the California Legislature on the Commission’s Findings.</w:t>
            </w:r>
          </w:p>
        </w:tc>
        <w:tc>
          <w:tcPr>
            <w:tcW w:w="4050" w:type="dxa"/>
            <w:tcBorders/>
          </w:tcPr>
          <w:p>
            <w:pPr>
              <w:pStyle w:val="Normal"/>
              <w:snapToGrid w:val="false"/>
              <w:jc w:val="center"/>
              <w:rPr>
                <w:sz w:val="20"/>
              </w:rPr>
            </w:pPr>
            <w:r>
              <w:rPr>
                <w:sz w:val="20"/>
              </w:rPr>
            </w:r>
          </w:p>
          <w:p>
            <w:pPr>
              <w:pStyle w:val="Normal"/>
              <w:jc w:val="center"/>
              <w:rPr>
                <w:sz w:val="20"/>
              </w:rPr>
            </w:pPr>
            <w:r>
              <w:rPr>
                <w:sz w:val="20"/>
              </w:rPr>
            </w:r>
          </w:p>
          <w:p>
            <w:pPr>
              <w:pStyle w:val="Normal"/>
              <w:jc w:val="center"/>
              <w:rPr>
                <w:sz w:val="20"/>
              </w:rPr>
            </w:pPr>
            <w:r>
              <w:rPr>
                <w:sz w:val="20"/>
              </w:rPr>
            </w:r>
          </w:p>
          <w:p>
            <w:pPr>
              <w:pStyle w:val="Normal"/>
              <w:jc w:val="center"/>
              <w:rPr/>
            </w:pPr>
            <w:r>
              <w:rPr/>
              <w:t>I. 99-07-003</w:t>
            </w:r>
          </w:p>
        </w:tc>
      </w:tr>
    </w:tbl>
    <w:p>
      <w:pPr>
        <w:pStyle w:val="Normal"/>
        <w:suppressAutoHyphens w:val="true"/>
        <w:rPr/>
      </w:pPr>
      <w:r>
        <w:rPr/>
      </w:r>
    </w:p>
    <w:p>
      <w:pPr>
        <w:pStyle w:val="Normal"/>
        <w:rPr/>
      </w:pPr>
      <w:r>
        <w:rPr/>
      </w:r>
    </w:p>
    <w:p>
      <w:pPr>
        <w:pStyle w:val="Heading1"/>
        <w:ind w:hanging="0" w:start="0"/>
        <w:rPr>
          <w:caps w:val="false"/>
          <w:smallCaps w:val="false"/>
          <w:lang w:eastAsia="en-CA"/>
        </w:rPr>
      </w:pPr>
      <w:r>
        <w:rPr>
          <w:caps w:val="false"/>
          <w:smallCaps w:val="false"/>
          <w:lang w:eastAsia="en-CA"/>
        </w:rPr>
        <w:t>Reply Brief of</w:t>
      </w:r>
    </w:p>
    <w:p>
      <w:pPr>
        <w:pStyle w:val="Heading1"/>
        <w:ind w:hanging="0" w:start="0"/>
        <w:rPr>
          <w:caps w:val="false"/>
          <w:smallCaps w:val="false"/>
          <w:lang w:eastAsia="en-CA"/>
        </w:rPr>
      </w:pPr>
      <w:r>
        <w:rPr>
          <w:caps w:val="false"/>
          <w:smallCaps w:val="false"/>
          <w:lang w:eastAsia="en-CA"/>
        </w:rPr>
        <w:t>Kern River Gas Transmission Company</w:t>
      </w:r>
    </w:p>
    <w:p>
      <w:pPr>
        <w:pStyle w:val="Normal"/>
        <w:jc w:val="center"/>
        <w:rPr>
          <w:smallCaps/>
          <w:lang w:eastAsia="en-CA"/>
        </w:rPr>
      </w:pPr>
      <w:r>
        <w:rPr>
          <w:smallCaps/>
          <w:lang w:eastAsia="en-CA"/>
        </w:rPr>
      </w:r>
    </w:p>
    <w:p>
      <w:pPr>
        <w:pStyle w:val="NORMALDOUBLESPACED"/>
        <w:rPr/>
      </w:pPr>
      <w:r>
        <w:rPr/>
        <w:tab/>
        <w:t xml:space="preserve">Kern River Gas Transmission Company (“Kern River”) hereby submits its reply brief in this matter.  Kern River’s initial brief of July 10, 2000, (1) urged the Commission, if it adopts the Comprehensive Settlement Agreement proposed by Southern California Gas Company (“SoCalGas”), </w:t>
      </w:r>
      <w:r>
        <w:rPr>
          <w:u w:val="single"/>
        </w:rPr>
        <w:t>et al.</w:t>
      </w:r>
      <w:r>
        <w:rPr/>
        <w:t>, to incorporate a minor modification related to the agreement’s treatment of capacity rights at new or expanded receipt points on SoCalGas’s system; and (2) to reject Pacific Gas and Electric Company’s (“PG&amp;E’s”) proposal to alter the settlement’s allocation of primary access rights at SoCalGas’s Wheeler Ridge receipt point.  None of the parties’ initial briefs challenges Kern River’s unrebutted testimony supporting its proposed modification of the Comprehensive Settlement with respect to capacity rights at new and expanded receipt points.</w:t>
      </w:r>
      <w:r>
        <w:rPr>
          <w:rStyle w:val="FootnoteCharacters"/>
          <w:rStyle w:val="FootnoteReference"/>
        </w:rPr>
        <w:footnoteReference w:id="2"/>
      </w:r>
      <w:r>
        <w:rPr/>
        <w:t xml:space="preserve">  Accordingly, Kern River urges the Commission, if it decides to accept the Comprehensive Settlement, to incorporate Kern River’s proposal into the agreement.</w:t>
      </w:r>
    </w:p>
    <w:p>
      <w:pPr>
        <w:pStyle w:val="NORMALDOUBLESPACED"/>
        <w:rPr/>
      </w:pPr>
      <w:r>
        <w:rPr/>
        <w:tab/>
        <w:t xml:space="preserve">In its initial brief, PG&amp;E continues to contest the Comprehensive Settlement’s allocation of primary access rights at Wheeler Ridge.  Kern River demonstrates below that PG&amp;E has failed to establish that the Comprehensive Settlement is unreasonable, or that PG&amp;E’s proposed alternative allocation of capacity rights is justified.  Kern River therefore urges the Commission, in the event </w:t>
      </w:r>
      <w:r>
        <w:br w:type="page"/>
      </w:r>
    </w:p>
    <w:p>
      <w:pPr>
        <w:pStyle w:val="NORMALDOUBLESPACED"/>
        <w:rPr/>
      </w:pPr>
      <w:r>
        <w:rPr/>
        <w:t>that it otherwise finds the Comprehensive Settlement to be acceptable, to reject PG&amp;E’s alternative proposal for allocating primary access rights at Wheeler Ridge.  Kern River does not otherwise respond to the parties’ initial briefs.</w:t>
      </w:r>
    </w:p>
    <w:p>
      <w:pPr>
        <w:pStyle w:val="NORMALDOUBLESPACED"/>
        <w:spacing w:lineRule="auto" w:line="240"/>
        <w:ind w:hanging="720" w:start="720" w:end="0"/>
        <w:rPr>
          <w:b/>
        </w:rPr>
      </w:pPr>
      <w:r>
        <w:rPr>
          <w:b/>
        </w:rPr>
        <w:t>1.</w:t>
        <w:tab/>
        <w:t>Contrary to PG&amp;E’s Contention, It Has Failed To Establish Any Defect In The Comprehensive Settlement’s Allocation Of Primary Access Rights At Wheeler Ridge.</w:t>
      </w:r>
    </w:p>
    <w:p>
      <w:pPr>
        <w:pStyle w:val="NORMALDOUBLESPACED"/>
        <w:spacing w:lineRule="auto" w:line="240"/>
        <w:ind w:hanging="720" w:start="720" w:end="0"/>
        <w:rPr>
          <w:b/>
        </w:rPr>
      </w:pPr>
      <w:r>
        <w:rPr>
          <w:b/>
        </w:rPr>
      </w:r>
    </w:p>
    <w:p>
      <w:pPr>
        <w:pStyle w:val="NORMALDOUBLESPACED"/>
        <w:ind w:firstLine="720" w:end="0"/>
        <w:rPr/>
      </w:pPr>
      <w:r>
        <w:rPr/>
        <w:tab/>
        <w:t xml:space="preserve">Wheeler Ridge is a complex of facilities that includes interconnections with Kern River and Mojave at a southern point, which the Comprehensive Settlement calls “Wheeler Ridge-South,” and interconnections with PG&amp;E and Occidental Petroleum (Oxy) at a northern point, which the Comprehensive Settlement calls “Wheeler Ridge-North.”  SoCalGas’s total takeaway capacity from Wheeler Ridge is 680 MMcf/d, but it can reach that capacity only if it receives at least 160 MMcf/d from Kern River/Mojave.  SoCalGas’s maximum takeaway capacity when it receives no gas from Kern River/Mojave is only 520 MMcf/d.  In contrast, however, SoCalGas can reach its total takeaway capacity of 680 MMcf/d at Wheeler Ridge even if none of the gas comes from PG&amp;E/Oxy, i.e., if SoCalGas receives all 680 MMcf/d from Kern River/Mojave.  </w:t>
      </w:r>
      <w:r>
        <w:rPr>
          <w:u w:val="single"/>
        </w:rPr>
        <w:t>See</w:t>
      </w:r>
      <w:r>
        <w:rPr/>
        <w:t xml:space="preserve"> Ex. 601 at 2-3 (Weaver Direct).</w:t>
      </w:r>
      <w:r>
        <w:br w:type="page"/>
      </w:r>
    </w:p>
    <w:p>
      <w:pPr>
        <w:pStyle w:val="NORMALDOUBLESPACED"/>
        <w:ind w:firstLine="720" w:end="0"/>
        <w:rPr/>
      </w:pPr>
      <w:r>
        <w:rPr/>
        <w:t>Consistent with these undisputed, physical facts, the Comprehensive Settlement would establish the following access rights at Wheeler Ridge:</w:t>
      </w:r>
    </w:p>
    <w:tbl>
      <w:tblPr>
        <w:tblW w:w="8100" w:type="dxa"/>
        <w:jc w:val="start"/>
        <w:tblInd w:w="360" w:type="dxa"/>
        <w:tblLayout w:type="fixed"/>
        <w:tblCellMar>
          <w:top w:w="0" w:type="dxa"/>
          <w:start w:w="108" w:type="dxa"/>
          <w:bottom w:w="0" w:type="dxa"/>
          <w:end w:w="108" w:type="dxa"/>
        </w:tblCellMar>
      </w:tblPr>
      <w:tblGrid>
        <w:gridCol w:w="1710"/>
        <w:gridCol w:w="1710"/>
        <w:gridCol w:w="2790"/>
        <w:gridCol w:w="1890"/>
      </w:tblGrid>
      <w:tr>
        <w:trPr/>
        <w:tc>
          <w:tcPr>
            <w:tcW w:w="1710" w:type="dxa"/>
            <w:tcBorders>
              <w:top w:val="single" w:sz="6" w:space="0" w:color="FFFFFF"/>
              <w:start w:val="single" w:sz="6" w:space="0" w:color="FFFFFF"/>
              <w:bottom w:val="single" w:sz="6" w:space="0" w:color="FFFFFF"/>
              <w:end w:val="single" w:sz="6" w:space="0" w:color="FFFFFF"/>
            </w:tcBorders>
          </w:tcPr>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rPr>
                <w:sz w:val="22"/>
                <w:u w:val="single"/>
              </w:rPr>
            </w:pPr>
            <w:r>
              <w:rPr>
                <w:sz w:val="22"/>
                <w:u w:val="single"/>
              </w:rPr>
            </w:r>
          </w:p>
        </w:tc>
        <w:tc>
          <w:tcPr>
            <w:tcW w:w="1710" w:type="dxa"/>
            <w:tcBorders>
              <w:top w:val="single" w:sz="6" w:space="0" w:color="FFFFFF"/>
              <w:start w:val="single" w:sz="6" w:space="0" w:color="FFFFFF"/>
              <w:bottom w:val="single" w:sz="6" w:space="0" w:color="FFFFFF"/>
              <w:end w:val="single" w:sz="6" w:space="0" w:color="FFFFFF"/>
            </w:tcBorders>
          </w:tcPr>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2"/>
              </w:rPr>
            </w:pPr>
            <w:r>
              <w:rPr>
                <w:sz w:val="22"/>
                <w:u w:val="single"/>
              </w:rPr>
              <w:t xml:space="preserve">Firm Capacity </w:t>
            </w:r>
            <w:r>
              <w:fldChar w:fldCharType="begin"/>
            </w:r>
            <w:r>
              <w:rPr/>
              <w:instrText xml:space="preserve"> TC "Firm Capacity " \l 1 </w:instrText>
            </w:r>
            <w:r>
              <w:rPr/>
              <w:fldChar w:fldCharType="separate"/>
            </w:r>
            <w:r>
              <w:rPr/>
            </w:r>
            <w:r>
              <w:rPr/>
              <w:fldChar w:fldCharType="end"/>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0"/>
              </w:rPr>
            </w:pPr>
            <w:r>
              <w:rPr>
                <w:sz w:val="20"/>
              </w:rPr>
              <w:t>(MMcf/d)</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2"/>
                <w:u w:val="single"/>
              </w:rPr>
            </w:pPr>
            <w:r>
              <w:rPr>
                <w:sz w:val="22"/>
                <w:u w:val="single"/>
              </w:rPr>
            </w:r>
          </w:p>
        </w:tc>
        <w:tc>
          <w:tcPr>
            <w:tcW w:w="2790" w:type="dxa"/>
            <w:tcBorders>
              <w:top w:val="single" w:sz="6" w:space="0" w:color="FFFFFF"/>
              <w:start w:val="single" w:sz="6" w:space="0" w:color="FFFFFF"/>
              <w:bottom w:val="single" w:sz="6" w:space="0" w:color="FFFFFF"/>
              <w:end w:val="single" w:sz="6" w:space="0" w:color="FFFFFF"/>
            </w:tcBorders>
          </w:tcPr>
          <w:p>
            <w:pPr>
              <w:pStyle w:val="Normal"/>
              <w:keepNext w:val="true"/>
              <w:keepLines/>
              <w:tabs>
                <w:tab w:val="left" w:pos="0" w:leader="none"/>
                <w:tab w:val="left" w:pos="720" w:leader="none"/>
                <w:tab w:val="left" w:pos="1440" w:leader="none"/>
                <w:tab w:val="left" w:pos="2160" w:leader="none"/>
              </w:tabs>
              <w:rPr>
                <w:sz w:val="22"/>
                <w:u w:val="single"/>
              </w:rPr>
            </w:pPr>
            <w:r>
              <w:rPr>
                <w:sz w:val="22"/>
                <w:u w:val="single"/>
              </w:rPr>
              <w:t xml:space="preserve">Primary Interconnection </w:t>
            </w:r>
            <w:r>
              <w:fldChar w:fldCharType="begin"/>
            </w:r>
            <w:r>
              <w:rPr/>
              <w:instrText xml:space="preserve"> TC "Primary Interconnection " \l 1 </w:instrText>
            </w:r>
            <w:r>
              <w:rPr/>
              <w:fldChar w:fldCharType="separate"/>
            </w:r>
            <w:r>
              <w:rPr/>
            </w:r>
            <w:r>
              <w:rPr/>
              <w:fldChar w:fldCharType="end"/>
            </w:r>
          </w:p>
        </w:tc>
        <w:tc>
          <w:tcPr>
            <w:tcW w:w="1890" w:type="dxa"/>
            <w:tcBorders>
              <w:top w:val="single" w:sz="6" w:space="0" w:color="FFFFFF"/>
              <w:start w:val="single" w:sz="6" w:space="0" w:color="FFFFFF"/>
              <w:bottom w:val="single" w:sz="6" w:space="0" w:color="FFFFFF"/>
              <w:end w:val="single" w:sz="6" w:space="0" w:color="FFFFFF"/>
            </w:tcBorders>
          </w:tcPr>
          <w:p>
            <w:pPr>
              <w:pStyle w:val="Normal"/>
              <w:keepNext w:val="true"/>
              <w:keepLines/>
              <w:tabs>
                <w:tab w:val="left" w:pos="0" w:leader="none"/>
                <w:tab w:val="left" w:pos="720" w:leader="none"/>
                <w:tab w:val="left" w:pos="1440" w:leader="none"/>
                <w:tab w:val="left" w:pos="2160" w:leader="none"/>
              </w:tabs>
              <w:rPr>
                <w:sz w:val="22"/>
              </w:rPr>
            </w:pPr>
            <w:r>
              <w:rPr>
                <w:sz w:val="22"/>
                <w:u w:val="single"/>
              </w:rPr>
              <w:t>Secondary Interconnection</w:t>
            </w:r>
            <w:r>
              <w:fldChar w:fldCharType="begin"/>
            </w:r>
            <w:r>
              <w:rPr/>
              <w:instrText xml:space="preserve"> TC "Secondary Interconnection" \l 1 </w:instrText>
            </w:r>
            <w:r>
              <w:rPr/>
              <w:fldChar w:fldCharType="separate"/>
            </w:r>
            <w:r>
              <w:rPr/>
            </w:r>
            <w:r>
              <w:rPr/>
              <w:fldChar w:fldCharType="end"/>
            </w:r>
          </w:p>
          <w:p>
            <w:pPr>
              <w:pStyle w:val="Normal"/>
              <w:keepNext w:val="true"/>
              <w:keepLines/>
              <w:tabs>
                <w:tab w:val="left" w:pos="0" w:leader="none"/>
                <w:tab w:val="left" w:pos="720" w:leader="none"/>
                <w:tab w:val="left" w:pos="1440" w:leader="none"/>
                <w:tab w:val="left" w:pos="2160" w:leader="none"/>
              </w:tabs>
              <w:rPr>
                <w:sz w:val="22"/>
              </w:rPr>
            </w:pPr>
            <w:r>
              <w:rPr>
                <w:sz w:val="22"/>
              </w:rPr>
            </w:r>
          </w:p>
        </w:tc>
      </w:tr>
      <w:tr>
        <w:trPr/>
        <w:tc>
          <w:tcPr>
            <w:tcW w:w="1710" w:type="dxa"/>
            <w:tcBorders>
              <w:top w:val="single" w:sz="6" w:space="0" w:color="FFFFFF"/>
              <w:start w:val="single" w:sz="6" w:space="0" w:color="FFFFFF"/>
              <w:bottom w:val="single" w:sz="6" w:space="0" w:color="FFFFFF"/>
              <w:end w:val="single" w:sz="6" w:space="0" w:color="FFFFFF"/>
            </w:tcBorders>
          </w:tcPr>
          <w:p>
            <w:pPr>
              <w:pStyle w:val="Normal"/>
              <w:keepNext w:val="true"/>
              <w:keepLines/>
              <w:tabs>
                <w:tab w:val="left" w:pos="0" w:leader="none"/>
                <w:tab w:val="left" w:pos="720" w:leader="none"/>
                <w:tab w:val="left" w:pos="1440" w:leader="none"/>
                <w:tab w:val="left" w:pos="2160" w:leader="none"/>
              </w:tabs>
              <w:rPr>
                <w:sz w:val="22"/>
              </w:rPr>
            </w:pPr>
            <w:r>
              <w:rPr>
                <w:sz w:val="22"/>
              </w:rPr>
              <w:t>Wheeler Ridge-North</w:t>
            </w:r>
          </w:p>
        </w:tc>
        <w:tc>
          <w:tcPr>
            <w:tcW w:w="1710" w:type="dxa"/>
            <w:tcBorders>
              <w:top w:val="single" w:sz="6" w:space="0" w:color="FFFFFF"/>
              <w:start w:val="single" w:sz="6" w:space="0" w:color="FFFFFF"/>
              <w:bottom w:val="single" w:sz="6" w:space="0" w:color="FFFFFF"/>
              <w:end w:val="single" w:sz="6" w:space="0" w:color="FFFFFF"/>
            </w:tcBorders>
          </w:tcPr>
          <w:p>
            <w:pPr>
              <w:pStyle w:val="Normal"/>
              <w:keepNext w:val="true"/>
              <w:keepLines/>
              <w:tabs>
                <w:tab w:val="left" w:pos="0" w:leader="none"/>
                <w:tab w:val="left" w:pos="720" w:leader="none"/>
                <w:tab w:val="left" w:pos="1440" w:leader="none"/>
                <w:tab w:val="left" w:pos="2160" w:leader="none"/>
              </w:tabs>
              <w:rPr>
                <w:sz w:val="22"/>
              </w:rPr>
            </w:pPr>
            <w:r>
              <w:rPr>
                <w:sz w:val="22"/>
              </w:rPr>
              <w:t>520</w:t>
            </w:r>
          </w:p>
        </w:tc>
        <w:tc>
          <w:tcPr>
            <w:tcW w:w="2790" w:type="dxa"/>
            <w:tcBorders>
              <w:top w:val="single" w:sz="6" w:space="0" w:color="FFFFFF"/>
              <w:start w:val="single" w:sz="6" w:space="0" w:color="FFFFFF"/>
              <w:bottom w:val="single" w:sz="6" w:space="0" w:color="FFFFFF"/>
              <w:end w:val="single" w:sz="6" w:space="0" w:color="FFFFFF"/>
            </w:tcBorders>
          </w:tcPr>
          <w:p>
            <w:pPr>
              <w:pStyle w:val="Normal"/>
              <w:keepNext w:val="true"/>
              <w:keepLines/>
              <w:tabs>
                <w:tab w:val="left" w:pos="0" w:leader="none"/>
                <w:tab w:val="left" w:pos="720" w:leader="none"/>
                <w:tab w:val="left" w:pos="1440" w:leader="none"/>
                <w:tab w:val="left" w:pos="2160" w:leader="none"/>
              </w:tabs>
              <w:rPr>
                <w:sz w:val="22"/>
              </w:rPr>
            </w:pPr>
            <w:r>
              <w:rPr>
                <w:sz w:val="22"/>
              </w:rPr>
              <w:t xml:space="preserve">PG&amp;E, Oxy, Kern/Mojave </w:t>
            </w:r>
          </w:p>
        </w:tc>
        <w:tc>
          <w:tcPr>
            <w:tcW w:w="1890" w:type="dxa"/>
            <w:tcBorders>
              <w:top w:val="single" w:sz="6" w:space="0" w:color="FFFFFF"/>
              <w:start w:val="single" w:sz="6" w:space="0" w:color="FFFFFF"/>
              <w:bottom w:val="single" w:sz="6" w:space="0" w:color="FFFFFF"/>
              <w:end w:val="single" w:sz="6" w:space="0" w:color="FFFFFF"/>
            </w:tcBorders>
          </w:tcPr>
          <w:p>
            <w:pPr>
              <w:pStyle w:val="Normal"/>
              <w:keepNext w:val="true"/>
              <w:keepLines/>
              <w:tabs>
                <w:tab w:val="left" w:pos="0" w:leader="none"/>
                <w:tab w:val="left" w:pos="720" w:leader="none"/>
                <w:tab w:val="left" w:pos="1440" w:leader="none"/>
                <w:tab w:val="left" w:pos="2160" w:leader="none"/>
              </w:tabs>
              <w:rPr>
                <w:sz w:val="22"/>
              </w:rPr>
            </w:pPr>
            <w:r>
              <w:rPr>
                <w:sz w:val="22"/>
              </w:rPr>
              <w:t>None</w:t>
            </w:r>
          </w:p>
        </w:tc>
      </w:tr>
      <w:tr>
        <w:trPr/>
        <w:tc>
          <w:tcPr>
            <w:tcW w:w="1710" w:type="dxa"/>
            <w:tcBorders>
              <w:top w:val="single" w:sz="6" w:space="0" w:color="FFFFFF"/>
              <w:start w:val="single" w:sz="6" w:space="0" w:color="FFFFFF"/>
              <w:bottom w:val="single" w:sz="6" w:space="0" w:color="FFFFFF"/>
              <w:end w:val="single" w:sz="6" w:space="0" w:color="FFFFFF"/>
            </w:tcBorders>
          </w:tcPr>
          <w:p>
            <w:pPr>
              <w:pStyle w:val="Normal"/>
              <w:keepNext w:val="true"/>
              <w:keepLines/>
              <w:tabs>
                <w:tab w:val="left" w:pos="0" w:leader="none"/>
                <w:tab w:val="left" w:pos="720" w:leader="none"/>
                <w:tab w:val="left" w:pos="1440" w:leader="none"/>
                <w:tab w:val="left" w:pos="2160" w:leader="none"/>
              </w:tabs>
              <w:rPr>
                <w:sz w:val="22"/>
              </w:rPr>
            </w:pPr>
            <w:r>
              <w:rPr>
                <w:sz w:val="22"/>
              </w:rPr>
              <w:t>Wheeler Ridge-South</w:t>
            </w:r>
          </w:p>
        </w:tc>
        <w:tc>
          <w:tcPr>
            <w:tcW w:w="1710" w:type="dxa"/>
            <w:tcBorders>
              <w:top w:val="single" w:sz="6" w:space="0" w:color="FFFFFF"/>
              <w:start w:val="single" w:sz="6" w:space="0" w:color="FFFFFF"/>
              <w:bottom w:val="single" w:sz="6" w:space="0" w:color="FFFFFF"/>
              <w:end w:val="single" w:sz="6" w:space="0" w:color="FFFFFF"/>
            </w:tcBorders>
          </w:tcPr>
          <w:p>
            <w:pPr>
              <w:pStyle w:val="Normal"/>
              <w:keepNext w:val="true"/>
              <w:keepLines/>
              <w:tabs>
                <w:tab w:val="left" w:pos="0" w:leader="none"/>
                <w:tab w:val="left" w:pos="720" w:leader="none"/>
                <w:tab w:val="left" w:pos="1440" w:leader="none"/>
                <w:tab w:val="left" w:pos="2160" w:leader="none"/>
              </w:tabs>
              <w:rPr>
                <w:sz w:val="22"/>
              </w:rPr>
            </w:pPr>
            <w:r>
              <w:rPr>
                <w:sz w:val="22"/>
              </w:rPr>
              <w:t>160</w:t>
            </w:r>
          </w:p>
        </w:tc>
        <w:tc>
          <w:tcPr>
            <w:tcW w:w="2790" w:type="dxa"/>
            <w:tcBorders>
              <w:top w:val="single" w:sz="6" w:space="0" w:color="FFFFFF"/>
              <w:start w:val="single" w:sz="6" w:space="0" w:color="FFFFFF"/>
              <w:bottom w:val="single" w:sz="6" w:space="0" w:color="FFFFFF"/>
              <w:end w:val="single" w:sz="6" w:space="0" w:color="FFFFFF"/>
            </w:tcBorders>
          </w:tcPr>
          <w:p>
            <w:pPr>
              <w:pStyle w:val="Normal"/>
              <w:keepNext w:val="true"/>
              <w:keepLines/>
              <w:tabs>
                <w:tab w:val="left" w:pos="0" w:leader="none"/>
                <w:tab w:val="left" w:pos="720" w:leader="none"/>
                <w:tab w:val="left" w:pos="1440" w:leader="none"/>
                <w:tab w:val="left" w:pos="2160" w:leader="none"/>
              </w:tabs>
              <w:rPr>
                <w:sz w:val="22"/>
              </w:rPr>
            </w:pPr>
            <w:r>
              <w:rPr>
                <w:sz w:val="22"/>
              </w:rPr>
              <w:t>Kern/Mojave</w:t>
            </w:r>
          </w:p>
        </w:tc>
        <w:tc>
          <w:tcPr>
            <w:tcW w:w="1890" w:type="dxa"/>
            <w:tcBorders>
              <w:top w:val="single" w:sz="6" w:space="0" w:color="FFFFFF"/>
              <w:start w:val="single" w:sz="6" w:space="0" w:color="FFFFFF"/>
              <w:bottom w:val="single" w:sz="6" w:space="0" w:color="FFFFFF"/>
              <w:end w:val="single" w:sz="6" w:space="0" w:color="FFFFFF"/>
            </w:tcBorders>
          </w:tcPr>
          <w:p>
            <w:pPr>
              <w:pStyle w:val="Normal"/>
              <w:keepNext w:val="true"/>
              <w:keepLines/>
              <w:tabs>
                <w:tab w:val="left" w:pos="0" w:leader="none"/>
                <w:tab w:val="left" w:pos="720" w:leader="none"/>
                <w:tab w:val="left" w:pos="1440" w:leader="none"/>
                <w:tab w:val="left" w:pos="2160" w:leader="none"/>
              </w:tabs>
              <w:rPr>
                <w:sz w:val="22"/>
              </w:rPr>
            </w:pPr>
            <w:r>
              <w:rPr>
                <w:sz w:val="22"/>
              </w:rPr>
              <w:t>PG&amp;E, Oxy</w:t>
            </w:r>
          </w:p>
        </w:tc>
      </w:tr>
      <w:tr>
        <w:trPr/>
        <w:tc>
          <w:tcPr>
            <w:tcW w:w="1710" w:type="dxa"/>
            <w:tcBorders>
              <w:top w:val="single" w:sz="6" w:space="0" w:color="FFFFFF"/>
              <w:start w:val="single" w:sz="6" w:space="0" w:color="FFFFFF"/>
              <w:bottom w:val="single" w:sz="6" w:space="0" w:color="FFFFFF"/>
              <w:end w:val="single" w:sz="6" w:space="0" w:color="FFFFFF"/>
            </w:tcBorders>
          </w:tcPr>
          <w:p>
            <w:pPr>
              <w:pStyle w:val="Normal"/>
              <w:keepNext w:val="true"/>
              <w:keepLines/>
              <w:tabs>
                <w:tab w:val="left" w:pos="0" w:leader="none"/>
                <w:tab w:val="left" w:pos="720" w:leader="none"/>
                <w:tab w:val="left" w:pos="1440" w:leader="none"/>
                <w:tab w:val="left" w:pos="2160" w:leader="none"/>
              </w:tabs>
              <w:snapToGrid w:val="false"/>
              <w:rPr>
                <w:sz w:val="22"/>
              </w:rPr>
            </w:pPr>
            <w:r>
              <w:rPr>
                <w:sz w:val="22"/>
              </w:rPr>
            </w:r>
          </w:p>
          <w:p>
            <w:pPr>
              <w:pStyle w:val="Normal"/>
              <w:keepNext w:val="true"/>
              <w:keepLines/>
              <w:tabs>
                <w:tab w:val="left" w:pos="0" w:leader="none"/>
                <w:tab w:val="left" w:pos="720" w:leader="none"/>
                <w:tab w:val="left" w:pos="1440" w:leader="none"/>
                <w:tab w:val="left" w:pos="2160" w:leader="none"/>
              </w:tabs>
              <w:rPr>
                <w:sz w:val="22"/>
              </w:rPr>
            </w:pPr>
            <w:r>
              <w:rPr>
                <w:sz w:val="22"/>
              </w:rPr>
              <w:t>Total</w:t>
            </w:r>
          </w:p>
        </w:tc>
        <w:tc>
          <w:tcPr>
            <w:tcW w:w="1710" w:type="dxa"/>
            <w:tcBorders>
              <w:top w:val="single" w:sz="6" w:space="0" w:color="FFFFFF"/>
              <w:start w:val="single" w:sz="6" w:space="0" w:color="FFFFFF"/>
              <w:bottom w:val="single" w:sz="6" w:space="0" w:color="FFFFFF"/>
              <w:end w:val="single" w:sz="6" w:space="0" w:color="FFFFFF"/>
            </w:tcBorders>
          </w:tcPr>
          <w:p>
            <w:pPr>
              <w:pStyle w:val="Normal"/>
              <w:keepNext w:val="true"/>
              <w:keepLines/>
              <w:tabs>
                <w:tab w:val="left" w:pos="0" w:leader="none"/>
                <w:tab w:val="left" w:pos="720" w:leader="none"/>
                <w:tab w:val="left" w:pos="1440" w:leader="none"/>
                <w:tab w:val="left" w:pos="2160" w:leader="none"/>
              </w:tabs>
              <w:snapToGrid w:val="false"/>
              <w:rPr>
                <w:sz w:val="22"/>
              </w:rPr>
            </w:pPr>
            <w:r>
              <w:rPr>
                <w:sz w:val="22"/>
              </w:rPr>
            </w:r>
          </w:p>
          <w:p>
            <w:pPr>
              <w:pStyle w:val="Normal"/>
              <w:keepNext w:val="true"/>
              <w:keepLines/>
              <w:tabs>
                <w:tab w:val="left" w:pos="0" w:leader="none"/>
                <w:tab w:val="left" w:pos="720" w:leader="none"/>
                <w:tab w:val="left" w:pos="1440" w:leader="none"/>
                <w:tab w:val="left" w:pos="2160" w:leader="none"/>
              </w:tabs>
              <w:rPr>
                <w:sz w:val="22"/>
              </w:rPr>
            </w:pPr>
            <w:r>
              <w:rPr>
                <w:sz w:val="22"/>
              </w:rPr>
              <w:t>680</w:t>
            </w:r>
          </w:p>
        </w:tc>
        <w:tc>
          <w:tcPr>
            <w:tcW w:w="2790" w:type="dxa"/>
            <w:tcBorders>
              <w:top w:val="single" w:sz="6" w:space="0" w:color="FFFFFF"/>
              <w:start w:val="single" w:sz="6" w:space="0" w:color="FFFFFF"/>
              <w:bottom w:val="single" w:sz="6" w:space="0" w:color="FFFFFF"/>
              <w:end w:val="single" w:sz="6" w:space="0" w:color="FFFFFF"/>
            </w:tcBorders>
          </w:tcPr>
          <w:p>
            <w:pPr>
              <w:pStyle w:val="Normal"/>
              <w:keepNext w:val="true"/>
              <w:keepLines/>
              <w:tabs>
                <w:tab w:val="left" w:pos="0" w:leader="none"/>
                <w:tab w:val="left" w:pos="720" w:leader="none"/>
                <w:tab w:val="left" w:pos="1440" w:leader="none"/>
                <w:tab w:val="left" w:pos="2160" w:leader="none"/>
              </w:tabs>
              <w:snapToGrid w:val="false"/>
              <w:rPr>
                <w:sz w:val="22"/>
              </w:rPr>
            </w:pPr>
            <w:r>
              <w:rPr>
                <w:sz w:val="22"/>
              </w:rPr>
            </w:r>
          </w:p>
          <w:p>
            <w:pPr>
              <w:pStyle w:val="Normal"/>
              <w:keepNext w:val="true"/>
              <w:keepLines/>
              <w:tabs>
                <w:tab w:val="left" w:pos="0" w:leader="none"/>
                <w:tab w:val="left" w:pos="720" w:leader="none"/>
                <w:tab w:val="left" w:pos="1440" w:leader="none"/>
                <w:tab w:val="left" w:pos="2160" w:leader="none"/>
              </w:tabs>
              <w:rPr>
                <w:sz w:val="22"/>
              </w:rPr>
            </w:pPr>
            <w:r>
              <w:rPr>
                <w:sz w:val="22"/>
              </w:rPr>
            </w:r>
          </w:p>
        </w:tc>
        <w:tc>
          <w:tcPr>
            <w:tcW w:w="1890" w:type="dxa"/>
            <w:tcBorders>
              <w:top w:val="single" w:sz="6" w:space="0" w:color="FFFFFF"/>
              <w:start w:val="single" w:sz="6" w:space="0" w:color="FFFFFF"/>
              <w:bottom w:val="single" w:sz="6" w:space="0" w:color="FFFFFF"/>
              <w:end w:val="single" w:sz="6" w:space="0" w:color="FFFFFF"/>
            </w:tcBorders>
          </w:tcPr>
          <w:p>
            <w:pPr>
              <w:pStyle w:val="Normal"/>
              <w:keepNext w:val="true"/>
              <w:keepLines/>
              <w:tabs>
                <w:tab w:val="left" w:pos="0" w:leader="none"/>
                <w:tab w:val="left" w:pos="720" w:leader="none"/>
                <w:tab w:val="left" w:pos="1440" w:leader="none"/>
                <w:tab w:val="left" w:pos="2160" w:leader="none"/>
              </w:tabs>
              <w:snapToGrid w:val="false"/>
              <w:rPr>
                <w:sz w:val="22"/>
              </w:rPr>
            </w:pPr>
            <w:r>
              <w:rPr>
                <w:sz w:val="22"/>
              </w:rPr>
            </w:r>
          </w:p>
        </w:tc>
      </w:tr>
      <w:tr>
        <w:trPr/>
        <w:tc>
          <w:tcPr>
            <w:tcW w:w="1710" w:type="dxa"/>
            <w:tcBorders>
              <w:top w:val="single" w:sz="6" w:space="0" w:color="FFFFFF"/>
              <w:start w:val="single" w:sz="6" w:space="0" w:color="FFFFFF"/>
              <w:bottom w:val="single" w:sz="6" w:space="0" w:color="FFFFFF"/>
              <w:end w:val="single" w:sz="6" w:space="0" w:color="FFFFFF"/>
            </w:tcBorders>
          </w:tcPr>
          <w:p>
            <w:pPr>
              <w:pStyle w:val="Normal"/>
              <w:keepNext w:val="true"/>
              <w:keepLines/>
              <w:tabs>
                <w:tab w:val="left" w:pos="0" w:leader="none"/>
                <w:tab w:val="left" w:pos="720" w:leader="none"/>
                <w:tab w:val="left" w:pos="1440" w:leader="none"/>
                <w:tab w:val="left" w:pos="2160" w:leader="none"/>
              </w:tabs>
              <w:snapToGrid w:val="false"/>
              <w:rPr>
                <w:sz w:val="22"/>
              </w:rPr>
            </w:pPr>
            <w:r>
              <w:rPr>
                <w:sz w:val="22"/>
              </w:rPr>
            </w:r>
          </w:p>
        </w:tc>
        <w:tc>
          <w:tcPr>
            <w:tcW w:w="1710" w:type="dxa"/>
            <w:tcBorders>
              <w:top w:val="single" w:sz="6" w:space="0" w:color="FFFFFF"/>
              <w:start w:val="single" w:sz="6" w:space="0" w:color="FFFFFF"/>
              <w:bottom w:val="single" w:sz="6" w:space="0" w:color="FFFFFF"/>
              <w:end w:val="single" w:sz="6" w:space="0" w:color="FFFFFF"/>
            </w:tcBorders>
          </w:tcPr>
          <w:p>
            <w:pPr>
              <w:pStyle w:val="Normal"/>
              <w:keepNext w:val="true"/>
              <w:keepLines/>
              <w:tabs>
                <w:tab w:val="left" w:pos="0" w:leader="none"/>
                <w:tab w:val="left" w:pos="720" w:leader="none"/>
                <w:tab w:val="left" w:pos="1440" w:leader="none"/>
                <w:tab w:val="left" w:pos="2160" w:leader="none"/>
              </w:tabs>
              <w:snapToGrid w:val="false"/>
              <w:rPr>
                <w:sz w:val="22"/>
              </w:rPr>
            </w:pPr>
            <w:r>
              <w:rPr>
                <w:sz w:val="22"/>
              </w:rPr>
            </w:r>
          </w:p>
        </w:tc>
        <w:tc>
          <w:tcPr>
            <w:tcW w:w="2790" w:type="dxa"/>
            <w:tcBorders>
              <w:top w:val="single" w:sz="6" w:space="0" w:color="FFFFFF"/>
              <w:start w:val="single" w:sz="6" w:space="0" w:color="FFFFFF"/>
              <w:bottom w:val="single" w:sz="6" w:space="0" w:color="FFFFFF"/>
              <w:end w:val="single" w:sz="6" w:space="0" w:color="FFFFFF"/>
            </w:tcBorders>
          </w:tcPr>
          <w:p>
            <w:pPr>
              <w:pStyle w:val="Normal"/>
              <w:keepNext w:val="true"/>
              <w:keepLines/>
              <w:tabs>
                <w:tab w:val="left" w:pos="0" w:leader="none"/>
                <w:tab w:val="left" w:pos="720" w:leader="none"/>
                <w:tab w:val="left" w:pos="1440" w:leader="none"/>
                <w:tab w:val="left" w:pos="2160" w:leader="none"/>
              </w:tabs>
              <w:snapToGrid w:val="false"/>
              <w:rPr>
                <w:sz w:val="22"/>
              </w:rPr>
            </w:pPr>
            <w:r>
              <w:rPr>
                <w:sz w:val="22"/>
              </w:rPr>
            </w:r>
          </w:p>
        </w:tc>
        <w:tc>
          <w:tcPr>
            <w:tcW w:w="1890" w:type="dxa"/>
            <w:tcBorders>
              <w:top w:val="single" w:sz="6" w:space="0" w:color="FFFFFF"/>
              <w:start w:val="single" w:sz="6" w:space="0" w:color="FFFFFF"/>
              <w:bottom w:val="single" w:sz="6" w:space="0" w:color="FFFFFF"/>
              <w:end w:val="single" w:sz="6" w:space="0" w:color="FFFFFF"/>
            </w:tcBorders>
          </w:tcPr>
          <w:p>
            <w:pPr>
              <w:pStyle w:val="Normal"/>
              <w:keepNext w:val="true"/>
              <w:keepLines/>
              <w:tabs>
                <w:tab w:val="left" w:pos="0" w:leader="none"/>
                <w:tab w:val="left" w:pos="720" w:leader="none"/>
                <w:tab w:val="left" w:pos="1440" w:leader="none"/>
                <w:tab w:val="left" w:pos="2160" w:leader="none"/>
              </w:tabs>
              <w:snapToGrid w:val="false"/>
              <w:rPr>
                <w:sz w:val="22"/>
              </w:rPr>
            </w:pPr>
            <w:r>
              <w:rPr>
                <w:sz w:val="22"/>
              </w:rPr>
            </w:r>
          </w:p>
        </w:tc>
      </w:tr>
    </w:tbl>
    <w:p>
      <w:pPr>
        <w:pStyle w:val="NORMALDOUBLESPACED"/>
        <w:rPr/>
      </w:pPr>
      <w:r>
        <w:rPr/>
        <w:t>Ex. 1 (Comprehensive Settlement Agreement) at App. B., p.2.</w:t>
      </w:r>
    </w:p>
    <w:p>
      <w:pPr>
        <w:pStyle w:val="NORMALDOUBLESPACED"/>
        <w:ind w:firstLine="720" w:end="0"/>
        <w:rPr/>
      </w:pPr>
      <w:r>
        <w:rPr/>
        <w:t xml:space="preserve">Through the testimony of its witness, Mr. Richard Hall, PG&amp;E proposed to modify this formula to provide up to 520 MMcf/d of firm primary rights at Wheeler Ridge-North and up to 500 MMcf/d of firm primary rights at Wheeler Ridge-South.  Ex. 700 at 9 (Hall Direct).  Under PG&amp;E’s proposal, holders of Wheeler Ridge-North rights would have primary access only at the PG&amp;E/Oxy interconnection; holders of Wheeler Ridge-South rights would have primary access rights only at the Kern River/Mojave interconnection.  </w:t>
      </w:r>
      <w:r>
        <w:rPr>
          <w:u w:val="single"/>
        </w:rPr>
        <w:t>Id.</w:t>
      </w:r>
      <w:r>
        <w:rPr/>
        <w:t xml:space="preserve">  To limit the total primary firm rights to 680 MMcf/d, PG&amp;E would prorate the awards of primary rights based on the respective capacities of the PG&amp;E/Oxy and Kern River/Mojave interconnections.  </w:t>
      </w:r>
      <w:r>
        <w:rPr>
          <w:u w:val="single"/>
        </w:rPr>
        <w:t>Id.</w:t>
      </w:r>
    </w:p>
    <w:p>
      <w:pPr>
        <w:pStyle w:val="NORMALDOUBLESPACED"/>
        <w:ind w:firstLine="720" w:end="0"/>
        <w:rPr/>
      </w:pPr>
      <w:r>
        <w:rPr/>
        <w:t xml:space="preserve">Kern River and El Paso Natural Gas Company (“El Paso”) established that Mr. Hall’s assumption that Kern River/Mojave can deliver only 500 MMcf/d into the SoCalGas system is incorrect.  Kern River and Mojave in fact are capable of collectively delivering to SoCalGas the full 680 MMcf/d that SoCalGas is capable of taking away at Wheeler Ridge.  </w:t>
      </w:r>
      <w:r>
        <w:rPr>
          <w:u w:val="single"/>
        </w:rPr>
        <w:t>See</w:t>
      </w:r>
      <w:r>
        <w:rPr/>
        <w:t xml:space="preserve"> Ex. 501 at 2 (Morgan Rebuttal); Ex. 601 at 4 (Weaver Rebuttal).</w:t>
      </w:r>
      <w:r>
        <w:rPr>
          <w:rStyle w:val="FootnoteCharacters"/>
          <w:rStyle w:val="FootnoteReference"/>
        </w:rPr>
        <w:footnoteReference w:id="3"/>
      </w:r>
      <w:r>
        <w:rPr/>
        <w:t xml:space="preserve">  Therefore, contrary to PG&amp;E’s previous assertions (Ex. 700 at 7), the Comprehensive Settlement’s proposed allocation of capacity rights at Wheeler Ridge would pose no risk of curtailment of any firm service.  </w:t>
      </w:r>
    </w:p>
    <w:p>
      <w:pPr>
        <w:pStyle w:val="NORMALDOUBLESPACED"/>
        <w:ind w:firstLine="720" w:end="0"/>
        <w:rPr/>
      </w:pPr>
      <w:r>
        <w:rPr/>
        <w:t xml:space="preserve">PG&amp;E now admits that its testimony was based on an erroneous description of the delivery capability of Kern River/Mojave at Wheeler Ridge.  </w:t>
      </w:r>
      <w:r>
        <w:rPr>
          <w:u w:val="single"/>
        </w:rPr>
        <w:t>See</w:t>
      </w:r>
      <w:r>
        <w:rPr/>
        <w:t xml:space="preserve"> PG&amp;E Initial Brief at 5 n.13, 6.  PG&amp;E contends nevertheless that its position regarding access rights at Wheeler Ridge is valid.  That contention is without merit.</w:t>
      </w:r>
    </w:p>
    <w:p>
      <w:pPr>
        <w:pStyle w:val="NORMALDOUBLESPACED"/>
        <w:spacing w:lineRule="auto" w:line="240"/>
        <w:ind w:hanging="720" w:start="1440" w:end="0"/>
        <w:rPr>
          <w:b/>
        </w:rPr>
      </w:pPr>
      <w:r>
        <w:rPr>
          <w:b/>
        </w:rPr>
        <w:t>A.</w:t>
        <w:tab/>
        <w:t>PG&amp;E Has Established No Flaw In The Comprehensive Settlement’s Allocation Of Wheeler Ridge Rights That Could Warrant Modification Of The Settlement.</w:t>
      </w:r>
    </w:p>
    <w:p>
      <w:pPr>
        <w:pStyle w:val="NORMALDOUBLESPACED"/>
        <w:spacing w:lineRule="auto" w:line="240"/>
        <w:ind w:hanging="720" w:start="1440" w:end="0"/>
        <w:rPr>
          <w:b/>
        </w:rPr>
      </w:pPr>
      <w:r>
        <w:rPr>
          <w:b/>
        </w:rPr>
      </w:r>
    </w:p>
    <w:p>
      <w:pPr>
        <w:pStyle w:val="NORMALDOUBLESPACED"/>
        <w:ind w:firstLine="720" w:end="0"/>
        <w:rPr/>
      </w:pPr>
      <w:r>
        <w:rPr/>
        <w:t xml:space="preserve">PG&amp;E’s initial burden must be to demonstrate that there is some defect in the Comprehensive Settlement’s allocation of primary firm access rights at Wheeler Ridge that justifies changing the agreement.  In the absence of establishing such an error, PG&amp;E has no basis for proposing an alternative allocation approach.  </w:t>
      </w:r>
    </w:p>
    <w:p>
      <w:pPr>
        <w:pStyle w:val="NORMALDOUBLESPACED"/>
        <w:ind w:firstLine="720" w:end="0"/>
        <w:rPr/>
      </w:pPr>
      <w:r>
        <w:rPr/>
        <w:t xml:space="preserve">Illustrating the meager reasoning that PG&amp;E asserts as its rationale for modifying the Comprehensive Settlement is its claims that the agreement does not explain why it would provide primary access rights for up to 520 MMcf/d that can be used at either the PG&amp;E/Oxy or the Kern River/Mojave interconnections.  That assertion is baseless.  The Comprehensive Settlement in fact explains very cleary (Ex. 1 at App. B, p.2) that the agreement’s allocation of primary access rights conforms to the physical capabilities of the SoCalGas system to take gas away from Wheeler Ridge.  The agreement provides that holders of Wheeler Ridge-North capacity rights can use those rights on a primary basis to obtain up to 520 MMcf/d at either PG&amp;E/Oxy or Kern River/Mojave, because, at volumes of up to 520 MMcf/d, SoCalGas’s take-away capacity from Wheeler Ridge does not depend on the source of the gas at Wheeler Ridge.  SoCalGas’s total take-away capacity of 680 MMcf/d is available, however, only if at least 160 MMcf/d of that gas is received from Kern River/Mojave.  Accordingly, the Comprehensive Settlement restricts only 160 MMcf/d of primary access rights to receipt from Kern River/Mojave.  PG&amp;E’s witness, Mr. Hall, admitted (1) that at volumes of up to 520 MMcf/d, it makes no difference to SoCalGas whether the gas that it receives flows from PG&amp;E/Oxy or from Kern River/Mojave, and (2) that the Comprehensive Settlement conforms to that reality.  Tr. 704:20 - 705:4 (Hall, PG&amp;E). </w:t>
      </w:r>
    </w:p>
    <w:p>
      <w:pPr>
        <w:pStyle w:val="NORMALDOUBLESPACED"/>
        <w:ind w:firstLine="720" w:end="0"/>
        <w:rPr/>
      </w:pPr>
      <w:r>
        <w:rPr/>
        <w:t>Since SoCalGas has the operational flexibility to take up to 520 MMcf/d on a firm basis from either PG&amp;E/Oxy or Kern River/Mojave, it is entirely appropriate for the Comprehensive Settlement to offer shippers the same flexibility for volumes of up to 520 MMcf/d.  But at volumes in excess of 520 MMcf/d, SoCalGas’s take-away capacity at Wheeler Ridge depends upon receiving at least 160 MMcf/d from Kern River/Mojave.  Therefore, it is appropriate to limit 160 MMcf/d of firm primary access rights at Wheeler Ridge to the Kern River/Mojave interconnection only.  PG&amp;E offers no valid reasons why the Commission should consider it unreasonable for the Comprehensive Settlement to reflect SoCalGas’s undisputed physical capabilities.  This failure undermines all of PG&amp;E’s ill-considered complaints about the purported effects of the Comprehensive Settlement’s allocation formula.</w:t>
      </w:r>
    </w:p>
    <w:p>
      <w:pPr>
        <w:pStyle w:val="NORMALDOUBLESPACED"/>
        <w:ind w:firstLine="720" w:end="0"/>
        <w:rPr/>
      </w:pPr>
      <w:r>
        <w:rPr/>
        <w:t xml:space="preserve">PG&amp;E asserts, for example, that the Comprehensive Settlement’s Wheeler Ridge-North access rights would have greater flexibility and, therefore, greater value, than the Wheeler Ridge-South access rights.  According to PG&amp;E, this would cause “a market distortion” that would limit primary firm receipt point rights at the PG&amp;E/Oxy interconnection to less than the physically available capacity and thereby “would unnecessarily reduce the ability of southern California gas customers to access Canadian gas supplies when this gas is competitively priced.”  Ex. 700 at 7-8 (Hall Direct), </w:t>
      </w:r>
      <w:r>
        <w:rPr>
          <w:u w:val="single"/>
        </w:rPr>
        <w:t>quoted</w:t>
      </w:r>
      <w:r>
        <w:rPr/>
        <w:t xml:space="preserve"> </w:t>
      </w:r>
      <w:r>
        <w:rPr>
          <w:u w:val="single"/>
        </w:rPr>
        <w:t>in</w:t>
      </w:r>
      <w:r>
        <w:rPr/>
        <w:t xml:space="preserve"> PG&amp;E Initial Brief (“IB”) at 4.  These claims are specious.</w:t>
      </w:r>
    </w:p>
    <w:p>
      <w:pPr>
        <w:pStyle w:val="NORMALDOUBLESPACED"/>
        <w:ind w:firstLine="720" w:end="0"/>
        <w:rPr/>
      </w:pPr>
      <w:r>
        <w:rPr/>
        <w:t xml:space="preserve">PG&amp;E never explains why Wheeler Ridge-North access rights should </w:t>
      </w:r>
      <w:r>
        <w:rPr>
          <w:u w:val="single"/>
        </w:rPr>
        <w:t>not</w:t>
      </w:r>
      <w:r>
        <w:rPr/>
        <w:t xml:space="preserve"> have greater flexibility and, therefore, greater value than Wheeler Ridge-South access rights.  SoCalGas’s physical facilities and capabilities provide it with the flexibility to accept up to 520 MMcf/d from </w:t>
      </w:r>
      <w:r>
        <w:rPr>
          <w:u w:val="single"/>
        </w:rPr>
        <w:t>either</w:t>
      </w:r>
      <w:r>
        <w:rPr/>
        <w:t xml:space="preserve"> PG&amp;E/Oxy or Kern River/Mojave.  It is entirely reasonable for the Comprehensive Settlement to enable the market to use, and to value properly, that flexibility.  </w:t>
      </w:r>
      <w:r>
        <w:rPr>
          <w:u w:val="single"/>
        </w:rPr>
        <w:t>See</w:t>
      </w:r>
      <w:r>
        <w:rPr/>
        <w:t xml:space="preserve"> Tr. 402 (Lorenz, SoCalGas).  Contrary to PG&amp;E’s contention, allowing the market to base its judgments of value on SoCalGas’s undisputed physical capabilities can hardly be deemed “a market distortion.”</w:t>
      </w:r>
    </w:p>
    <w:p>
      <w:pPr>
        <w:pStyle w:val="NORMALDOUBLESPACED"/>
        <w:ind w:firstLine="720" w:end="0"/>
        <w:rPr/>
      </w:pPr>
      <w:r>
        <w:rPr/>
        <w:t xml:space="preserve">PG&amp;E likewise errs in its assertion that the Comprehensive Settlement would limit primary firm receipt point rights at PG&amp;E/Oxy to less than “the physically available 520 MMcf/d capacity.”  Ex. 700 at 8 (Hall Direct).  In fact, the Comprehensive Settlement would provide 520 MMcf/d of primary firm access rights that could be used </w:t>
      </w:r>
      <w:r>
        <w:rPr>
          <w:u w:val="single"/>
        </w:rPr>
        <w:t>every</w:t>
      </w:r>
      <w:r>
        <w:rPr/>
        <w:t xml:space="preserve"> </w:t>
      </w:r>
      <w:r>
        <w:rPr>
          <w:u w:val="single"/>
        </w:rPr>
        <w:t>day</w:t>
      </w:r>
      <w:r>
        <w:rPr/>
        <w:t xml:space="preserve"> to move the entire “physically available 520 MMcf/d” from PG&amp;E/Oxy if that is what shippers chose to do.  The Comprehensive Settlement would provide shippers with flexibility to divide their receipts on an ongoing basis, as market conditions dictate, between gas delivered from PG&amp;E/Oxy on the one hand, or from Kern River/Mojave on the other.  Tr. 402 (Lorenz).  Contrary to PG&amp;E’s suggestion, primary firm receipt point rights equal to the physical capacity of 520 MMcf/d at PG&amp;E/Oxy would be available every day of every year.  Whether, and to what extent, those rights would be used for that purpose would be decided, as it should, by market forces.</w:t>
      </w:r>
    </w:p>
    <w:p>
      <w:pPr>
        <w:pStyle w:val="NORMALDOUBLESPACED"/>
        <w:ind w:firstLine="720" w:end="0"/>
        <w:rPr/>
      </w:pPr>
      <w:r>
        <w:rPr/>
        <w:t>PG&amp;E similarly is mistaken in its claim that the Comprehensive Settlement’s allocation of Wheeler Ridge rights would reduce the ability of southern California consumers to obtain Canadian gas.  If the holders of Wheeler Ridge-North access rights did not use them to obtain Canadian gas, that would be purely a market-driven outcome.  The Comprehensive Settlement would not limit access to Canadian gas because, if and when Canadian gas is more economical than other supplies (i.e., is “competitively priced,” as Mr. Hall put it), shippers would either use their Wheeler Ridge-North rights to obtain Canadian gas through PG&amp;E/Oxy, or would leave a portion of their capacity rights unused, making them available in the secondary market and/or on an interruptible basis for those who wish to obtain Canadian gas.</w:t>
      </w:r>
    </w:p>
    <w:p>
      <w:pPr>
        <w:pStyle w:val="NORMALDOUBLESPACED"/>
        <w:ind w:firstLine="720" w:end="0"/>
        <w:rPr/>
      </w:pPr>
      <w:r>
        <w:rPr/>
        <w:t xml:space="preserve">PG&amp;E likewise misplaces its reliance on Mr. Hall’s hypothetical regarding subscriptions to Wheeler Ridge capacity under the Comprehensive Settlement.  </w:t>
      </w:r>
      <w:r>
        <w:rPr>
          <w:u w:val="single"/>
        </w:rPr>
        <w:t>See</w:t>
      </w:r>
      <w:r>
        <w:rPr/>
        <w:t xml:space="preserve"> PG&amp;E IB at 4 (</w:t>
      </w:r>
      <w:r>
        <w:rPr>
          <w:u w:val="single"/>
        </w:rPr>
        <w:t>quoting</w:t>
      </w:r>
      <w:r>
        <w:rPr/>
        <w:t xml:space="preserve"> Ex. 700 at 8:13-28).  According to that hypothetical, if Kern River/Mojave shippers contracted for 300 MMcf/d of Wheeler Ridge-North access rights, the Comprehensive Settlement would leave only 220 MMcf/d of primary firm rights available for PG&amp;E/Oxy shippers, even though 380 MMcf/d of SoCalGas’s 680 MMcf/d of firm take-away capacity from Wheeler Ridge should be available.  </w:t>
      </w:r>
      <w:r>
        <w:rPr>
          <w:u w:val="single"/>
        </w:rPr>
        <w:t>Id.</w:t>
      </w:r>
      <w:r>
        <w:rPr/>
        <w:t xml:space="preserve"> PG&amp;E claims that this result “would limit the ability of end-users in SoCalGas’s service territory to access Canadian gas and decrease off-system throughput on the PG&amp;E system.”  Ex. 700 at 8 (Hall Direct).  </w:t>
      </w:r>
    </w:p>
    <w:p>
      <w:pPr>
        <w:pStyle w:val="NORMALDOUBLESPACED"/>
        <w:ind w:firstLine="720" w:end="0"/>
        <w:rPr/>
      </w:pPr>
      <w:r>
        <w:rPr/>
        <w:t>This reasoning does not withstand analysis.  First, if, as the hypothetical appears to assume, only 520 MMcf/d of SoCalGas’s 680 MMcf/d of firm take-away capacity were subscribed, then the remaining 160 MMcf/d of capacity would remain available to shippers who desire to use the PG&amp;E/Oxy interconnection.  Shippers could use that capacity on an interruptible basis or by subscribing to Wheeler Ridge-South access rights and using them on a secondary basis to obtain gas through PG&amp;E/Oxy.  Mr. Hall’s suggestion that “such access would be subject to bumping by primary firm service” (Ex. 700 at 8) is a red herring.  Under the scenario Mr. Hall laid out, there would be no unused primary rights at PG&amp;E/Oxy that could bump PG&amp;E shippers’ use of the 160 MMcf/d of available capacity.  In fact, Mr. Hall agreed that in circumstances such as these, the availability of the capacity at PG&amp;E/Oxy would be “essentially guaranteed,” making reliance on secondary rights satisfactory.  Tr. 685:13 - 687:3 (Hall, PG&amp;E).</w:t>
      </w:r>
      <w:r>
        <w:rPr>
          <w:rStyle w:val="FootnoteCharacters"/>
        </w:rPr>
        <w:t xml:space="preserve"> </w:t>
      </w:r>
      <w:r>
        <w:rPr>
          <w:rStyle w:val="FootnoteCharacters"/>
          <w:rStyle w:val="FootnoteReference"/>
        </w:rPr>
        <w:footnoteReference w:id="4"/>
      </w:r>
      <w:r>
        <w:rPr/>
        <w:t xml:space="preserve"> </w:t>
      </w:r>
    </w:p>
    <w:p>
      <w:pPr>
        <w:pStyle w:val="NORMALDOUBLESPACED"/>
        <w:ind w:firstLine="720" w:end="0"/>
        <w:rPr/>
      </w:pPr>
      <w:r>
        <w:rPr/>
        <w:t xml:space="preserve">PG&amp;E’s hypothetical also fails on a more fundamental basis.  If, as PG&amp;E asserts, the Comprehensive Settlement’s Wheeler Ridge-North primary access rights would be more valuable than Wheeler Ridge-South primary rights, then presumably it would cost more to acquire Wheeler Ridge-North primary rights than to obtain Wheeler Ridge-South primary rights.  PG&amp;E never explains, however, why a Kern River/Mojave shipper who does not wish to obtain gas through PG&amp;E/Oxy would pay more to subscribe to Wheeler Ridge-North rights, rather than Wheeler Ridge-South rights.  If in fact there are such shippers, their first choice logically would be the 160 MMcf/d of presumptively less expensive primary rights at Wheeler Ridge-South.  PG&amp;E’s hypothetical thus not only fails to support its assertions, but is economically irrational. </w:t>
      </w:r>
    </w:p>
    <w:p>
      <w:pPr>
        <w:pStyle w:val="NORMALDOUBLESPACED"/>
        <w:ind w:firstLine="720" w:end="0"/>
        <w:rPr/>
      </w:pPr>
      <w:r>
        <w:rPr/>
        <w:t>PG&amp;E has failed to demonstrate that the Comprehensive Settlement’s allocation of firm access rights at Wheeler Ridge is unreasonable in any respect.  Therefore, regardless of the Commission’s views on the merits of PG&amp;E’s alternative approach to that allocation, there is no basis on the record for the Commission, if it otherwise chooses to adopt the settlement, to modify the Comprehensive Settlement’s provisions concerning Wheeler Ridge access rights.</w:t>
      </w:r>
    </w:p>
    <w:p>
      <w:pPr>
        <w:pStyle w:val="NORMALDOUBLESPACED"/>
        <w:spacing w:lineRule="auto" w:line="240"/>
        <w:ind w:hanging="720" w:start="1440" w:end="0"/>
        <w:rPr>
          <w:b/>
        </w:rPr>
      </w:pPr>
      <w:r>
        <w:rPr>
          <w:b/>
        </w:rPr>
        <w:t>B.</w:t>
        <w:tab/>
        <w:t>PG&amp;E’s Alternative Scheme For Allocating Wheeler Ridge Access Rights Offers No Advantages Over The Comprehensive Settlement.</w:t>
      </w:r>
    </w:p>
    <w:p>
      <w:pPr>
        <w:pStyle w:val="NORMALDOUBLESPACED"/>
        <w:spacing w:lineRule="auto" w:line="240"/>
        <w:ind w:hanging="720" w:start="1440" w:end="0"/>
        <w:rPr>
          <w:b/>
        </w:rPr>
      </w:pPr>
      <w:r>
        <w:rPr>
          <w:b/>
        </w:rPr>
      </w:r>
    </w:p>
    <w:p>
      <w:pPr>
        <w:pStyle w:val="NORMALDOUBLESPACED"/>
        <w:ind w:firstLine="720" w:end="0"/>
        <w:rPr/>
      </w:pPr>
      <w:r>
        <w:rPr/>
        <w:t xml:space="preserve">In lieu of the Comprehensive Settlement’s allocation, PG&amp;E proposes that SoCalGas offer firm primary access rights at Wheeler Ridge for up to 520 MMcf/d from PG&amp;E/Oxy and up to 680 MMcf/d of primary rights at the Kern River/Mojave interconnection.  The total primary firm access rights awarded, however, would be limited to SoCalGas’s firm take-away capacity of 680 MMcf/d.  Thus, if shippers in the aggregate sought to subscribe primary access rights in excess of 680 MMcf/d, PG&amp;E would prorate their requests for capacity at each interconnection as needed to reduce the total awarded primary access rights to 680 MMcf/d.  </w:t>
      </w:r>
      <w:r>
        <w:rPr>
          <w:u w:val="single"/>
        </w:rPr>
        <w:t>See</w:t>
      </w:r>
      <w:r>
        <w:rPr/>
        <w:t xml:space="preserve"> Ex. 700 at 9 (Hall Direct).</w:t>
      </w:r>
    </w:p>
    <w:p>
      <w:pPr>
        <w:pStyle w:val="NORMALDOUBLESPACED"/>
        <w:ind w:firstLine="720" w:end="0"/>
        <w:rPr/>
      </w:pPr>
      <w:r>
        <w:rPr/>
        <w:t xml:space="preserve">Even apart from PG&amp;E’s failure to demonstrate any flaw in the Comprehensive Settlement that requires its proposed remedy, PG&amp;E’s alternative scheme is unjustified.  In fact, the modification it seeks would not resolve PG&amp;E’s own (albeit meritless) complaints about the Comprehensive Settlement.  For example, according to PG&amp;E, the Comprehensive Settlement could lead to subscriptions of primary rights at the PG&amp;E/Oxy interconnection of less than the full 520 MMcf/d of receipt capacity at that location.  While that assertion is incorrect for the reasons noted above, PG&amp;E’s own proposal almost certainly would result in the very same, yet purportedly unacceptable, outcome.  </w:t>
      </w:r>
    </w:p>
    <w:p>
      <w:pPr>
        <w:pStyle w:val="NORMALDOUBLESPACED"/>
        <w:ind w:firstLine="720" w:end="0"/>
        <w:rPr/>
      </w:pPr>
      <w:r>
        <w:rPr/>
        <w:t xml:space="preserve">Consider the example that Mr. Hall provided at page 8 of his Direct Testimony (Ex. 700).  He hypothesized that Kern River/Mojave shippers would subscribe to 300 MMcf/d of firm Wheeler Ridge capacity.  Under PG&amp;E’s proposal, in order to obtain primary rights at Kern River/Mojave, those shippers would seek Wheeler Ridge-South access rights.  That necessarily would leave no more than 380 MMcf/d of primary access rights available at the PG&amp;E/Oxy interconnection (Wheeler Ridge-North), considerably less than the 520 MMcf/d of physical capacity at that point.  The other 140 MMcf/d (520-380) of receipt capacity at PG&amp;E/Oxy </w:t>
      </w:r>
      <w:r>
        <w:rPr>
          <w:u w:val="single"/>
        </w:rPr>
        <w:t>never</w:t>
      </w:r>
      <w:r>
        <w:rPr/>
        <w:t xml:space="preserve"> would be available on a primary access rights basis.  Under the Comprehensive Settlement, in contrast, shippers could use the full 520 MMcf/d of PG&amp;E/Oxy receipt capacity on a primary basis whenever market conditions warranted it.  </w:t>
      </w:r>
    </w:p>
    <w:p>
      <w:pPr>
        <w:pStyle w:val="NORMALDOUBLESPACED"/>
        <w:ind w:firstLine="720" w:end="0"/>
        <w:rPr/>
      </w:pPr>
      <w:r>
        <w:rPr/>
        <w:t xml:space="preserve">The slightly different hypothetical subscription outcome that PG&amp;E’s counsel presented to Mr. Lorenz on cross-examination likewise illustrates the futility of PG&amp;E’s proposal.  The suggested scenario was that shippers would contract for only 520 MMcf/d of primary firm rights at Wheeler Ridge-North, leaving all Wheeler Ridge-South primary rights unsubscribed.  Shippers then would use 160 MMcf/d of Wheeler Ridge-North rights to receive gas from Kern River/Mojave, thereby leaving 360 MMcf/d of primary firm rights available for receiving gas from PG&amp;E/Oxy.  </w:t>
      </w:r>
      <w:r>
        <w:rPr>
          <w:u w:val="single"/>
        </w:rPr>
        <w:t>See</w:t>
      </w:r>
      <w:r>
        <w:rPr/>
        <w:t xml:space="preserve"> Tr. 390:7-26 (Mr. Kurz, PG&amp;E Counsel).  PG&amp;E’s complaint about the Comprehensive Settlement under this scenario is that it would make the remaining 160 MMcf/d (520-360) of PG&amp;E/Oxy receipt capacity available on less than a primary firm basis.</w:t>
      </w:r>
    </w:p>
    <w:p>
      <w:pPr>
        <w:pStyle w:val="NORMALDOUBLESPACED"/>
        <w:ind w:firstLine="720" w:end="0"/>
        <w:rPr/>
      </w:pPr>
      <w:r>
        <w:rPr/>
        <w:t>Mr. Hall’s admission that secondary rights are sufficient in such circumstances (Tr. 685:13 - 687:3) undermines PG&amp;E’s position of itself.  Even apart from that, however, PG&amp;E overlooks that precisely the same outcome could result under its alternative allocation scheme.  Under PG&amp;E’s approach, if shippers contracted only for 520 MMcf/d of Wheeler Ridge-North primary rights, they still could use 160 MMcf/d of those rights on a secondary basis to obtain gas from Kern River/Mojave.</w:t>
      </w:r>
      <w:r>
        <w:rPr>
          <w:rStyle w:val="FootnoteCharacters"/>
          <w:rStyle w:val="FootnoteReference"/>
        </w:rPr>
        <w:footnoteReference w:id="5"/>
      </w:r>
      <w:r>
        <w:rPr/>
        <w:t xml:space="preserve">  Under this scenario, PG&amp;E’s allocation would leave 160 MMcf/d of receipt capacity at Wheeler Ridge available for receipts from PG&amp;E/Oxy on an interruptible basis, just as it would be under the Comprehensive Settlement.  </w:t>
      </w:r>
      <w:r>
        <w:rPr>
          <w:u w:val="single"/>
        </w:rPr>
        <w:t>See</w:t>
      </w:r>
      <w:r>
        <w:rPr/>
        <w:t xml:space="preserve"> Tr. 393:1 - 27 (Lorenz, SoCalGas).  Therefore, again, PG&amp;E’s own proposal would not change the outcome that it claims to find objectionable under the Comprehensive Settlement.</w:t>
      </w:r>
    </w:p>
    <w:p>
      <w:pPr>
        <w:pStyle w:val="NORMALDOUBLESPACED"/>
        <w:ind w:firstLine="720" w:end="0"/>
        <w:rPr/>
      </w:pPr>
      <w:r>
        <w:rPr/>
        <w:t xml:space="preserve">Accordingly, if the Commission finds the Comprehensive Settlement to be acceptable, it should adopt it without modifying the agreement’s allocation of firm access rights at Wheeler Ridge.  For the reasons Kern River explained in its initial brief, however, if the Commission accepts the Comprehensive Settlement, it should change the agreement to provide primary access rights at new </w:t>
      </w:r>
      <w:r>
        <w:br w:type="page"/>
      </w:r>
    </w:p>
    <w:p>
      <w:pPr>
        <w:pStyle w:val="NORMALDOUBLESPACED"/>
        <w:ind w:end="0"/>
        <w:rPr/>
      </w:pPr>
      <w:r>
        <w:rPr/>
        <w:t xml:space="preserve">or expanded interconnections when such rights would not degrade customers’ primary rights at existing interconnections on the SoCalGas system. </w:t>
      </w:r>
    </w:p>
    <w:p>
      <w:pPr>
        <w:pStyle w:val="NORMALDOUBLESPACED"/>
        <w:rPr/>
      </w:pPr>
      <w:r>
        <w:rPr/>
        <w:tab/>
        <w:tab/>
        <w:tab/>
        <w:tab/>
        <w:tab/>
        <w:tab/>
        <w:tab/>
        <w:tab/>
        <w:t>Respectfully submitted,</w:t>
      </w:r>
    </w:p>
    <w:p>
      <w:pPr>
        <w:pStyle w:val="Normal"/>
        <w:tabs>
          <w:tab w:val="clear" w:pos="720"/>
          <w:tab w:val="left" w:pos="-720" w:leader="none"/>
        </w:tabs>
        <w:suppressAutoHyphens w:val="true"/>
        <w:rPr>
          <w:rFonts w:ascii="CG Times" w:hAnsi="CG Times" w:cs="CG Times"/>
          <w:spacing w:val="-3"/>
        </w:rPr>
      </w:pPr>
      <w:r>
        <w:rPr>
          <w:rFonts w:cs="CG Times" w:ascii="CG Times" w:hAnsi="CG Times"/>
          <w:spacing w:val="-3"/>
        </w:rPr>
      </w:r>
    </w:p>
    <w:p>
      <w:pPr>
        <w:pStyle w:val="Normal"/>
        <w:tabs>
          <w:tab w:val="clear" w:pos="720"/>
          <w:tab w:val="left" w:pos="-720" w:leader="none"/>
        </w:tabs>
        <w:suppressAutoHyphens w:val="true"/>
        <w:rPr>
          <w:rFonts w:ascii="CG Times" w:hAnsi="CG Times" w:cs="CG Times"/>
          <w:spacing w:val="-3"/>
        </w:rPr>
      </w:pPr>
      <w:r>
        <w:rPr>
          <w:rFonts w:cs="CG Times" w:ascii="CG Times" w:hAnsi="CG Times"/>
          <w:b/>
          <w:spacing w:val="-3"/>
        </w:rPr>
        <w:tab/>
        <w:tab/>
        <w:tab/>
        <w:tab/>
        <w:tab/>
        <w:tab/>
        <w:tab/>
        <w:tab/>
        <w:t>WRIGHT &amp; TALISMAN, P.C.</w:t>
      </w:r>
    </w:p>
    <w:p>
      <w:pPr>
        <w:pStyle w:val="Normal"/>
        <w:tabs>
          <w:tab w:val="clear" w:pos="720"/>
          <w:tab w:val="left" w:pos="-720" w:leader="none"/>
        </w:tabs>
        <w:suppressAutoHyphens w:val="true"/>
        <w:rPr>
          <w:rFonts w:ascii="CG Times" w:hAnsi="CG Times" w:cs="CG Times"/>
          <w:spacing w:val="-3"/>
        </w:rPr>
      </w:pPr>
      <w:r>
        <w:rPr>
          <w:rFonts w:cs="CG Times" w:ascii="CG Times" w:hAnsi="CG Times"/>
          <w:spacing w:val="-3"/>
        </w:rPr>
      </w:r>
    </w:p>
    <w:p>
      <w:pPr>
        <w:pStyle w:val="Normal"/>
        <w:tabs>
          <w:tab w:val="clear" w:pos="720"/>
          <w:tab w:val="left" w:pos="-720" w:leader="none"/>
        </w:tabs>
        <w:suppressAutoHyphens w:val="true"/>
        <w:rPr>
          <w:rFonts w:ascii="CG Times" w:hAnsi="CG Times" w:cs="CG Times"/>
          <w:spacing w:val="-3"/>
        </w:rPr>
      </w:pPr>
      <w:r>
        <w:rPr>
          <w:rFonts w:cs="CG Times" w:ascii="CG Times" w:hAnsi="CG Times"/>
          <w:spacing w:val="-3"/>
        </w:rPr>
      </w:r>
    </w:p>
    <w:p>
      <w:pPr>
        <w:pStyle w:val="Normal"/>
        <w:tabs>
          <w:tab w:val="clear" w:pos="720"/>
          <w:tab w:val="left" w:pos="-720" w:leader="none"/>
        </w:tabs>
        <w:suppressAutoHyphens w:val="true"/>
        <w:rPr>
          <w:rFonts w:ascii="CG Times" w:hAnsi="CG Times" w:cs="CG Times"/>
          <w:spacing w:val="-3"/>
        </w:rPr>
      </w:pPr>
      <w:r>
        <w:rPr>
          <w:rFonts w:cs="CG Times" w:ascii="CG Times" w:hAnsi="CG Times"/>
          <w:spacing w:val="-3"/>
        </w:rPr>
      </w:r>
    </w:p>
    <w:p>
      <w:pPr>
        <w:pStyle w:val="Normal"/>
        <w:tabs>
          <w:tab w:val="clear" w:pos="720"/>
          <w:tab w:val="left" w:pos="-720" w:leader="none"/>
        </w:tabs>
        <w:suppressAutoHyphens w:val="true"/>
        <w:rPr>
          <w:rFonts w:ascii="CG Times" w:hAnsi="CG Times" w:cs="CG Times"/>
          <w:spacing w:val="-3"/>
        </w:rPr>
      </w:pPr>
      <w:r>
        <w:rPr>
          <w:rFonts w:cs="CG Times" w:ascii="CG Times" w:hAnsi="CG Times"/>
          <w:spacing w:val="-3"/>
        </w:rPr>
        <w:tab/>
        <w:tab/>
        <w:tab/>
        <w:tab/>
        <w:tab/>
        <w:tab/>
        <w:tab/>
        <w:t xml:space="preserve">    By _____________________________</w:t>
      </w:r>
    </w:p>
    <w:p>
      <w:pPr>
        <w:pStyle w:val="Normal"/>
        <w:tabs>
          <w:tab w:val="clear" w:pos="720"/>
          <w:tab w:val="left" w:pos="-720" w:leader="none"/>
        </w:tabs>
        <w:suppressAutoHyphens w:val="true"/>
        <w:rPr>
          <w:rFonts w:ascii="CG Times" w:hAnsi="CG Times" w:cs="CG Times"/>
          <w:spacing w:val="-3"/>
        </w:rPr>
      </w:pPr>
      <w:r>
        <w:rPr>
          <w:rFonts w:cs="CG Times" w:ascii="CG Times" w:hAnsi="CG Times"/>
          <w:spacing w:val="-3"/>
        </w:rPr>
        <w:t>Mark C. Moench</w:t>
        <w:tab/>
        <w:tab/>
        <w:tab/>
        <w:tab/>
        <w:tab/>
        <w:tab/>
        <w:t>Michael J. Thompson</w:t>
      </w:r>
    </w:p>
    <w:p>
      <w:pPr>
        <w:pStyle w:val="Normal"/>
        <w:tabs>
          <w:tab w:val="clear" w:pos="720"/>
          <w:tab w:val="left" w:pos="-720" w:leader="none"/>
        </w:tabs>
        <w:suppressAutoHyphens w:val="true"/>
        <w:rPr>
          <w:rFonts w:ascii="CG Times" w:hAnsi="CG Times" w:cs="CG Times"/>
          <w:spacing w:val="-3"/>
        </w:rPr>
      </w:pPr>
      <w:r>
        <w:rPr>
          <w:rFonts w:cs="CG Times" w:ascii="CG Times" w:hAnsi="CG Times"/>
          <w:spacing w:val="-3"/>
        </w:rPr>
        <w:t>Senior Counsel</w:t>
        <w:tab/>
        <w:tab/>
        <w:tab/>
        <w:tab/>
        <w:tab/>
        <w:tab/>
      </w:r>
    </w:p>
    <w:p>
      <w:pPr>
        <w:pStyle w:val="Normal"/>
        <w:tabs>
          <w:tab w:val="clear" w:pos="720"/>
          <w:tab w:val="left" w:pos="-720" w:leader="none"/>
        </w:tabs>
        <w:suppressAutoHyphens w:val="true"/>
        <w:rPr>
          <w:rFonts w:ascii="CG Times" w:hAnsi="CG Times" w:cs="CG Times"/>
          <w:spacing w:val="-3"/>
        </w:rPr>
      </w:pPr>
      <w:r>
        <w:rPr>
          <w:rFonts w:cs="CG Times" w:ascii="CG Times" w:hAnsi="CG Times"/>
          <w:spacing w:val="-3"/>
        </w:rPr>
        <w:t>Williams Gas Pipelines - West</w:t>
        <w:tab/>
        <w:tab/>
        <w:tab/>
        <w:tab/>
        <w:t>1200 G Street, N.W.</w:t>
      </w:r>
    </w:p>
    <w:p>
      <w:pPr>
        <w:pStyle w:val="Normal"/>
        <w:tabs>
          <w:tab w:val="clear" w:pos="720"/>
          <w:tab w:val="left" w:pos="-720" w:leader="none"/>
        </w:tabs>
        <w:suppressAutoHyphens w:val="true"/>
        <w:rPr>
          <w:rFonts w:ascii="CG Times" w:hAnsi="CG Times" w:cs="CG Times"/>
          <w:spacing w:val="-3"/>
        </w:rPr>
      </w:pPr>
      <w:r>
        <w:rPr>
          <w:rFonts w:cs="CG Times" w:ascii="CG Times" w:hAnsi="CG Times"/>
          <w:spacing w:val="-3"/>
        </w:rPr>
        <w:t>295 Chipeta Way</w:t>
        <w:tab/>
        <w:tab/>
        <w:tab/>
        <w:tab/>
        <w:tab/>
        <w:tab/>
        <w:t>Suite 600</w:t>
      </w:r>
    </w:p>
    <w:p>
      <w:pPr>
        <w:pStyle w:val="Normal"/>
        <w:tabs>
          <w:tab w:val="clear" w:pos="720"/>
          <w:tab w:val="left" w:pos="-720" w:leader="none"/>
        </w:tabs>
        <w:suppressAutoHyphens w:val="true"/>
        <w:rPr>
          <w:rFonts w:ascii="CG Times" w:hAnsi="CG Times" w:cs="CG Times"/>
          <w:spacing w:val="-3"/>
        </w:rPr>
      </w:pPr>
      <w:r>
        <w:rPr>
          <w:rFonts w:cs="CG Times" w:ascii="CG Times" w:hAnsi="CG Times"/>
          <w:spacing w:val="-3"/>
        </w:rPr>
        <w:t>Salt Lake City, Utah  84158</w:t>
        <w:tab/>
        <w:tab/>
        <w:tab/>
        <w:tab/>
        <w:tab/>
        <w:t>Washington, D.C.  20005</w:t>
      </w:r>
    </w:p>
    <w:p>
      <w:pPr>
        <w:pStyle w:val="Normal"/>
        <w:tabs>
          <w:tab w:val="clear" w:pos="720"/>
          <w:tab w:val="left" w:pos="-720" w:leader="none"/>
        </w:tabs>
        <w:suppressAutoHyphens w:val="true"/>
        <w:rPr>
          <w:rFonts w:ascii="CG Times" w:hAnsi="CG Times" w:cs="CG Times"/>
          <w:spacing w:val="-3"/>
        </w:rPr>
      </w:pPr>
      <w:r>
        <w:rPr>
          <w:rFonts w:cs="CG Times" w:ascii="CG Times" w:hAnsi="CG Times"/>
          <w:spacing w:val="-3"/>
        </w:rPr>
        <w:t>(801) 584-7059</w:t>
        <w:tab/>
        <w:tab/>
        <w:tab/>
        <w:tab/>
        <w:tab/>
        <w:tab/>
        <w:t xml:space="preserve">(202) 393-1200 </w:t>
      </w:r>
    </w:p>
    <w:p>
      <w:pPr>
        <w:pStyle w:val="Normal"/>
        <w:tabs>
          <w:tab w:val="clear" w:pos="720"/>
          <w:tab w:val="left" w:pos="-720" w:leader="none"/>
        </w:tabs>
        <w:suppressAutoHyphens w:val="true"/>
        <w:rPr>
          <w:rFonts w:ascii="CG Times" w:hAnsi="CG Times" w:cs="CG Times"/>
          <w:spacing w:val="-3"/>
        </w:rPr>
      </w:pPr>
      <w:r>
        <w:rPr>
          <w:rFonts w:cs="CG Times" w:ascii="CG Times" w:hAnsi="CG Times"/>
          <w:spacing w:val="-3"/>
        </w:rPr>
        <w:tab/>
        <w:tab/>
        <w:tab/>
        <w:tab/>
        <w:tab/>
        <w:tab/>
        <w:tab/>
        <w:tab/>
      </w:r>
    </w:p>
    <w:p>
      <w:pPr>
        <w:pStyle w:val="Normal"/>
        <w:tabs>
          <w:tab w:val="clear" w:pos="720"/>
          <w:tab w:val="left" w:pos="-720" w:leader="none"/>
        </w:tabs>
        <w:suppressAutoHyphens w:val="true"/>
        <w:rPr>
          <w:rFonts w:ascii="CG Times" w:hAnsi="CG Times" w:cs="CG Times"/>
          <w:spacing w:val="-3"/>
        </w:rPr>
      </w:pPr>
      <w:r>
        <w:rPr>
          <w:rFonts w:cs="CG Times" w:ascii="CG Times" w:hAnsi="CG Times"/>
          <w:spacing w:val="-3"/>
        </w:rPr>
      </w:r>
    </w:p>
    <w:p>
      <w:pPr>
        <w:pStyle w:val="Normal"/>
        <w:tabs>
          <w:tab w:val="clear" w:pos="720"/>
          <w:tab w:val="center" w:pos="4848" w:leader="none"/>
        </w:tabs>
        <w:suppressAutoHyphens w:val="true"/>
        <w:rPr>
          <w:rFonts w:ascii="CG Times" w:hAnsi="CG Times" w:cs="CG Times"/>
          <w:b/>
          <w:spacing w:val="-3"/>
        </w:rPr>
      </w:pPr>
      <w:r>
        <w:rPr>
          <w:rFonts w:cs="CG Times" w:ascii="CG Times" w:hAnsi="CG Times"/>
          <w:b/>
          <w:spacing w:val="-3"/>
        </w:rPr>
        <w:tab/>
        <w:t>Attorneys for</w:t>
      </w:r>
    </w:p>
    <w:p>
      <w:pPr>
        <w:pStyle w:val="Normal"/>
        <w:tabs>
          <w:tab w:val="clear" w:pos="720"/>
          <w:tab w:val="center" w:pos="4848" w:leader="none"/>
        </w:tabs>
        <w:suppressAutoHyphens w:val="true"/>
        <w:rPr>
          <w:rFonts w:ascii="CG Times" w:hAnsi="CG Times" w:cs="CG Times"/>
          <w:b/>
          <w:spacing w:val="-3"/>
        </w:rPr>
      </w:pPr>
      <w:r>
        <w:rPr>
          <w:rFonts w:cs="CG Times" w:ascii="CG Times" w:hAnsi="CG Times"/>
          <w:b/>
          <w:spacing w:val="-3"/>
        </w:rPr>
        <w:tab/>
        <w:t>Kern River Gas Transmission Company</w:t>
      </w:r>
    </w:p>
    <w:p>
      <w:pPr>
        <w:pStyle w:val="Normal"/>
        <w:tabs>
          <w:tab w:val="clear" w:pos="720"/>
          <w:tab w:val="left" w:pos="-720" w:leader="none"/>
        </w:tabs>
        <w:suppressAutoHyphens w:val="true"/>
        <w:rPr>
          <w:rFonts w:ascii="CG Times" w:hAnsi="CG Times" w:cs="CG Times"/>
          <w:b/>
          <w:spacing w:val="-3"/>
        </w:rPr>
      </w:pPr>
      <w:r>
        <w:rPr>
          <w:rFonts w:cs="CG Times" w:ascii="CG Times" w:hAnsi="CG Times"/>
          <w:b/>
          <w:spacing w:val="-3"/>
        </w:rPr>
      </w:r>
    </w:p>
    <w:p>
      <w:pPr>
        <w:pStyle w:val="Normal"/>
        <w:tabs>
          <w:tab w:val="clear" w:pos="720"/>
          <w:tab w:val="left" w:pos="-720" w:leader="none"/>
        </w:tabs>
        <w:suppressAutoHyphens w:val="true"/>
        <w:rPr>
          <w:rFonts w:ascii="CG Times" w:hAnsi="CG Times" w:cs="CG Times"/>
          <w:spacing w:val="-3"/>
        </w:rPr>
      </w:pPr>
      <w:r>
        <w:rPr>
          <w:rFonts w:cs="CG Times" w:ascii="CG Times" w:hAnsi="CG Times"/>
          <w:spacing w:val="-3"/>
        </w:rPr>
      </w:r>
    </w:p>
    <w:p>
      <w:pPr>
        <w:pStyle w:val="Normal"/>
        <w:tabs>
          <w:tab w:val="clear" w:pos="720"/>
          <w:tab w:val="left" w:pos="-720" w:leader="none"/>
        </w:tabs>
        <w:suppressAutoHyphens w:val="true"/>
        <w:rPr>
          <w:rFonts w:ascii="CG Times" w:hAnsi="CG Times" w:cs="CG Times"/>
          <w:spacing w:val="-3"/>
        </w:rPr>
      </w:pPr>
      <w:r>
        <w:rPr>
          <w:rFonts w:cs="CG Times" w:ascii="CG Times" w:hAnsi="CG Times"/>
          <w:spacing w:val="-3"/>
        </w:rPr>
      </w:r>
    </w:p>
    <w:p>
      <w:pPr>
        <w:pStyle w:val="Normal"/>
        <w:tabs>
          <w:tab w:val="clear" w:pos="720"/>
          <w:tab w:val="left" w:pos="-720" w:leader="none"/>
        </w:tabs>
        <w:suppressAutoHyphens w:val="true"/>
        <w:rPr>
          <w:rFonts w:ascii="CG Times" w:hAnsi="CG Times" w:cs="CG Times"/>
          <w:spacing w:val="-3"/>
        </w:rPr>
      </w:pPr>
      <w:r>
        <w:rPr>
          <w:rFonts w:cs="CG Times" w:ascii="CG Times" w:hAnsi="CG Times"/>
          <w:spacing w:val="-3"/>
        </w:rPr>
        <w:t>July 28, 2000</w:t>
      </w:r>
    </w:p>
    <w:p>
      <w:pPr>
        <w:pStyle w:val="Normal"/>
        <w:tabs>
          <w:tab w:val="clear" w:pos="720"/>
          <w:tab w:val="left" w:pos="-720" w:leader="none"/>
        </w:tabs>
        <w:suppressAutoHyphens w:val="true"/>
        <w:rPr>
          <w:rFonts w:ascii="CG Times" w:hAnsi="CG Times" w:cs="CG Times"/>
          <w:spacing w:val="-3"/>
        </w:rPr>
      </w:pPr>
      <w:r>
        <w:rPr>
          <w:rFonts w:cs="CG Times" w:ascii="CG Times" w:hAnsi="CG Times"/>
          <w:spacing w:val="-3"/>
        </w:rPr>
      </w:r>
    </w:p>
    <w:p>
      <w:pPr>
        <w:pStyle w:val="Normal"/>
        <w:tabs>
          <w:tab w:val="clear" w:pos="720"/>
          <w:tab w:val="left" w:pos="-720" w:leader="none"/>
        </w:tabs>
        <w:suppressAutoHyphens w:val="true"/>
        <w:rPr>
          <w:rFonts w:ascii="CG Times" w:hAnsi="CG Times" w:cs="CG Times"/>
          <w:spacing w:val="-3"/>
        </w:rPr>
      </w:pPr>
      <w:r>
        <w:rPr>
          <w:rFonts w:cs="CG Times" w:ascii="CG Times" w:hAnsi="CG Times"/>
          <w:spacing w:val="-3"/>
        </w:rPr>
      </w:r>
    </w:p>
    <w:p>
      <w:pPr>
        <w:pStyle w:val="Normal"/>
        <w:tabs>
          <w:tab w:val="clear" w:pos="720"/>
          <w:tab w:val="left" w:pos="-720" w:leader="none"/>
        </w:tabs>
        <w:suppressAutoHyphens w:val="true"/>
        <w:rPr>
          <w:rFonts w:ascii="CG Times" w:hAnsi="CG Times" w:cs="CG Times"/>
          <w:spacing w:val="-3"/>
        </w:rPr>
      </w:pPr>
      <w:r>
        <w:rPr>
          <w:rFonts w:cs="CG Times" w:ascii="CG Times" w:hAnsi="CG Times"/>
          <w:spacing w:val="-3"/>
        </w:rPr>
      </w:r>
    </w:p>
    <w:p>
      <w:pPr>
        <w:pStyle w:val="Normal"/>
        <w:tabs>
          <w:tab w:val="clear" w:pos="720"/>
          <w:tab w:val="left" w:pos="-720" w:leader="none"/>
        </w:tabs>
        <w:suppressAutoHyphens w:val="true"/>
        <w:rPr>
          <w:rFonts w:ascii="CG Times" w:hAnsi="CG Times" w:cs="CG Times"/>
          <w:spacing w:val="-3"/>
        </w:rPr>
      </w:pPr>
      <w:r>
        <w:rPr>
          <w:rFonts w:cs="CG Times" w:ascii="CG Times" w:hAnsi="CG Times"/>
          <w:spacing w:val="-3"/>
        </w:rPr>
      </w:r>
    </w:p>
    <w:p>
      <w:pPr>
        <w:pStyle w:val="Normal"/>
        <w:tabs>
          <w:tab w:val="clear" w:pos="720"/>
          <w:tab w:val="left" w:pos="-720" w:leader="none"/>
        </w:tabs>
        <w:suppressAutoHyphens w:val="true"/>
        <w:rPr>
          <w:rFonts w:ascii="CG Times" w:hAnsi="CG Times" w:cs="CG Times"/>
          <w:spacing w:val="-3"/>
        </w:rPr>
      </w:pPr>
      <w:r>
        <w:rPr>
          <w:rFonts w:cs="CG Times" w:ascii="CG Times" w:hAnsi="CG Times"/>
          <w:spacing w:val="-3"/>
        </w:rPr>
      </w:r>
    </w:p>
    <w:p>
      <w:pPr>
        <w:pStyle w:val="Normal"/>
        <w:tabs>
          <w:tab w:val="clear" w:pos="720"/>
          <w:tab w:val="left" w:pos="-720" w:leader="none"/>
        </w:tabs>
        <w:suppressAutoHyphens w:val="true"/>
        <w:rPr>
          <w:rFonts w:ascii="CG Times" w:hAnsi="CG Times" w:cs="CG Times"/>
          <w:spacing w:val="-3"/>
        </w:rPr>
      </w:pPr>
      <w:r>
        <w:rPr>
          <w:rFonts w:cs="CG Times" w:ascii="CG Times" w:hAnsi="CG Times"/>
          <w:spacing w:val="-3"/>
        </w:rPr>
      </w:r>
    </w:p>
    <w:p>
      <w:pPr>
        <w:pStyle w:val="Normal"/>
        <w:tabs>
          <w:tab w:val="clear" w:pos="720"/>
          <w:tab w:val="left" w:pos="-720" w:leader="none"/>
        </w:tabs>
        <w:suppressAutoHyphens w:val="true"/>
        <w:rPr>
          <w:rFonts w:ascii="CG Times" w:hAnsi="CG Times" w:cs="CG Times"/>
          <w:spacing w:val="-3"/>
        </w:rPr>
      </w:pPr>
      <w:r>
        <w:rPr>
          <w:rFonts w:cs="CG Times" w:ascii="CG Times" w:hAnsi="CG Times"/>
          <w:spacing w:val="-3"/>
        </w:rPr>
      </w:r>
    </w:p>
    <w:p>
      <w:pPr>
        <w:pStyle w:val="Normal"/>
        <w:tabs>
          <w:tab w:val="clear" w:pos="720"/>
          <w:tab w:val="left" w:pos="-720" w:leader="none"/>
        </w:tabs>
        <w:suppressAutoHyphens w:val="true"/>
        <w:rPr>
          <w:rFonts w:ascii="CG Times" w:hAnsi="CG Times" w:cs="CG Times"/>
          <w:spacing w:val="-3"/>
        </w:rPr>
      </w:pPr>
      <w:r>
        <w:rPr>
          <w:rFonts w:cs="CG Times" w:ascii="CG Times" w:hAnsi="CG Times"/>
          <w:spacing w:val="-3"/>
        </w:rPr>
      </w:r>
    </w:p>
    <w:p>
      <w:pPr>
        <w:pStyle w:val="Normal"/>
        <w:tabs>
          <w:tab w:val="clear" w:pos="720"/>
          <w:tab w:val="left" w:pos="-720" w:leader="none"/>
        </w:tabs>
        <w:suppressAutoHyphens w:val="true"/>
        <w:rPr>
          <w:rFonts w:ascii="CG Times" w:hAnsi="CG Times" w:cs="CG Times"/>
          <w:spacing w:val="-3"/>
        </w:rPr>
      </w:pPr>
      <w:r>
        <w:rPr>
          <w:rFonts w:cs="CG Times" w:ascii="CG Times" w:hAnsi="CG Times"/>
          <w:spacing w:val="-3"/>
        </w:rPr>
      </w:r>
    </w:p>
    <w:p>
      <w:pPr>
        <w:sectPr>
          <w:footerReference w:type="default" r:id="rId2"/>
          <w:footerReference w:type="first" r:id="rId3"/>
          <w:footnotePr>
            <w:numFmt w:val="decimal"/>
          </w:footnotePr>
          <w:type w:val="nextPage"/>
          <w:pgSz w:w="12240" w:h="15840"/>
          <w:pgMar w:left="1267" w:right="1267" w:gutter="0" w:header="0" w:top="1440" w:footer="1440" w:bottom="1496"/>
          <w:pgNumType w:start="1" w:fmt="decimal"/>
          <w:formProt w:val="false"/>
          <w:titlePg/>
          <w:textDirection w:val="lrTb"/>
          <w:docGrid w:type="default" w:linePitch="360" w:charSpace="0"/>
        </w:sectPr>
        <w:pStyle w:val="Normal"/>
        <w:tabs>
          <w:tab w:val="clear" w:pos="720"/>
          <w:tab w:val="left" w:pos="-720" w:leader="none"/>
        </w:tabs>
        <w:suppressAutoHyphens w:val="true"/>
        <w:rPr>
          <w:rFonts w:ascii="CG Times" w:hAnsi="CG Times" w:cs="CG Times"/>
          <w:spacing w:val="-3"/>
        </w:rPr>
      </w:pPr>
      <w:r>
        <w:rPr>
          <w:rFonts w:cs="CG Times" w:ascii="CG Times" w:hAnsi="CG Times"/>
          <w:spacing w:val="-3"/>
        </w:rPr>
      </w:r>
    </w:p>
    <w:p>
      <w:pPr>
        <w:pStyle w:val="Normal"/>
        <w:tabs>
          <w:tab w:val="clear" w:pos="720"/>
          <w:tab w:val="center" w:pos="4848" w:leader="none"/>
        </w:tabs>
        <w:suppressAutoHyphens w:val="true"/>
        <w:rPr>
          <w:rFonts w:ascii="CG Times" w:hAnsi="CG Times" w:cs="CG Times"/>
          <w:spacing w:val="-3"/>
        </w:rPr>
      </w:pPr>
      <w:r>
        <w:rPr>
          <w:rFonts w:cs="CG Times" w:ascii="CG Times" w:hAnsi="CG Times"/>
          <w:b/>
          <w:spacing w:val="-3"/>
        </w:rPr>
        <w:tab/>
        <w:t>CERTIFICATE OF SERVICE</w:t>
      </w:r>
    </w:p>
    <w:p>
      <w:pPr>
        <w:pStyle w:val="Normal"/>
        <w:tabs>
          <w:tab w:val="clear" w:pos="720"/>
          <w:tab w:val="left" w:pos="-720" w:leader="none"/>
        </w:tabs>
        <w:suppressAutoHyphens w:val="true"/>
        <w:rPr>
          <w:rFonts w:ascii="CG Times" w:hAnsi="CG Times" w:cs="CG Times"/>
          <w:spacing w:val="-3"/>
        </w:rPr>
      </w:pPr>
      <w:r>
        <w:rPr>
          <w:rFonts w:cs="CG Times" w:ascii="CG Times" w:hAnsi="CG Times"/>
          <w:spacing w:val="-3"/>
        </w:rPr>
      </w:r>
    </w:p>
    <w:p>
      <w:pPr>
        <w:pStyle w:val="Normal"/>
        <w:tabs>
          <w:tab w:val="clear" w:pos="720"/>
          <w:tab w:val="left" w:pos="-720" w:leader="none"/>
        </w:tabs>
        <w:suppressAutoHyphens w:val="true"/>
        <w:spacing w:lineRule="auto" w:line="480"/>
        <w:rPr/>
      </w:pPr>
      <w:r>
        <w:rPr>
          <w:rFonts w:cs="CG Times" w:ascii="CG Times" w:hAnsi="CG Times"/>
          <w:spacing w:val="-3"/>
        </w:rPr>
        <w:tab/>
        <w:tab/>
        <w:t xml:space="preserve">I hereby certify that I have served a copy of the </w:t>
      </w:r>
      <w:r>
        <w:rPr>
          <w:rFonts w:cs="CG Times" w:ascii="CG Times" w:hAnsi="CG Times"/>
          <w:b/>
          <w:spacing w:val="-3"/>
        </w:rPr>
        <w:t>"INITIAL BRIEF OF KERN RIVER GAS TRANSMISSION COMPANY"</w:t>
      </w:r>
      <w:r>
        <w:rPr>
          <w:rFonts w:cs="CG Times" w:ascii="CG Times" w:hAnsi="CG Times"/>
          <w:spacing w:val="-3"/>
        </w:rPr>
        <w:t xml:space="preserve"> by U.S. Mail, first class, postage prepaid, on the attached Service List for I.99-07-003.</w:t>
      </w:r>
    </w:p>
    <w:p>
      <w:pPr>
        <w:pStyle w:val="Normal"/>
        <w:tabs>
          <w:tab w:val="clear" w:pos="720"/>
          <w:tab w:val="left" w:pos="-720" w:leader="none"/>
        </w:tabs>
        <w:suppressAutoHyphens w:val="true"/>
        <w:spacing w:lineRule="auto" w:line="480"/>
        <w:rPr>
          <w:rFonts w:ascii="CG Times" w:hAnsi="CG Times" w:cs="CG Times"/>
          <w:spacing w:val="-3"/>
        </w:rPr>
      </w:pPr>
      <w:r>
        <w:rPr>
          <w:rFonts w:cs="CG Times" w:ascii="CG Times" w:hAnsi="CG Times"/>
          <w:spacing w:val="-3"/>
        </w:rPr>
        <w:tab/>
        <w:tab/>
        <w:t>Executed on July 28, 2000 at Washington, D.C.</w:t>
      </w:r>
    </w:p>
    <w:p>
      <w:pPr>
        <w:pStyle w:val="Normal"/>
        <w:tabs>
          <w:tab w:val="clear" w:pos="720"/>
          <w:tab w:val="left" w:pos="-720" w:leader="none"/>
        </w:tabs>
        <w:suppressAutoHyphens w:val="true"/>
        <w:rPr>
          <w:rFonts w:ascii="CG Times" w:hAnsi="CG Times" w:cs="CG Times"/>
          <w:spacing w:val="-3"/>
        </w:rPr>
      </w:pPr>
      <w:r>
        <w:rPr>
          <w:rFonts w:cs="CG Times" w:ascii="CG Times" w:hAnsi="CG Times"/>
          <w:spacing w:val="-3"/>
        </w:rPr>
        <w:tab/>
        <w:tab/>
        <w:tab/>
        <w:tab/>
      </w:r>
    </w:p>
    <w:p>
      <w:pPr>
        <w:pStyle w:val="Normal"/>
        <w:tabs>
          <w:tab w:val="clear" w:pos="720"/>
          <w:tab w:val="left" w:pos="-720" w:leader="none"/>
        </w:tabs>
        <w:suppressAutoHyphens w:val="true"/>
        <w:rPr>
          <w:rFonts w:ascii="CG Times" w:hAnsi="CG Times" w:cs="CG Times"/>
          <w:spacing w:val="-3"/>
        </w:rPr>
      </w:pPr>
      <w:r>
        <w:rPr>
          <w:rFonts w:cs="CG Times" w:ascii="CG Times" w:hAnsi="CG Times"/>
          <w:spacing w:val="-3"/>
        </w:rPr>
        <w:tab/>
        <w:tab/>
        <w:tab/>
        <w:tab/>
        <w:tab/>
        <w:tab/>
        <w:t>______________________</w:t>
      </w:r>
      <w:r>
        <w:rPr>
          <w:rFonts w:cs="CG Times" w:ascii="CG Times" w:hAnsi="CG Times"/>
          <w:spacing w:val="-3"/>
          <w:u w:val="single"/>
        </w:rPr>
        <w:t xml:space="preserve">                             </w:t>
      </w:r>
    </w:p>
    <w:p>
      <w:pPr>
        <w:pStyle w:val="Normal"/>
        <w:tabs>
          <w:tab w:val="clear" w:pos="720"/>
          <w:tab w:val="left" w:pos="-720" w:leader="none"/>
          <w:tab w:val="left" w:pos="0" w:leader="none"/>
        </w:tabs>
        <w:suppressAutoHyphens w:val="true"/>
        <w:ind w:hanging="720" w:start="720" w:end="720"/>
        <w:rPr>
          <w:rFonts w:ascii="CG Times" w:hAnsi="CG Times" w:cs="CG Times"/>
          <w:spacing w:val="-3"/>
        </w:rPr>
      </w:pPr>
      <w:r>
        <w:rPr>
          <w:rFonts w:cs="CG Times" w:ascii="CG Times" w:hAnsi="CG Times"/>
          <w:spacing w:val="-3"/>
        </w:rPr>
        <w:tab/>
        <w:tab/>
        <w:tab/>
        <w:tab/>
        <w:tab/>
        <w:tab/>
        <w:t xml:space="preserve">         Amelia Rivera</w:t>
      </w:r>
    </w:p>
    <w:p>
      <w:pPr>
        <w:pStyle w:val="Normal"/>
        <w:tabs>
          <w:tab w:val="clear" w:pos="720"/>
          <w:tab w:val="left" w:pos="-720" w:leader="none"/>
        </w:tabs>
        <w:suppressAutoHyphens w:val="true"/>
        <w:rPr>
          <w:rFonts w:ascii="CG Times" w:hAnsi="CG Times" w:cs="CG Times"/>
          <w:spacing w:val="-3"/>
        </w:rPr>
      </w:pPr>
      <w:r>
        <w:rPr>
          <w:rFonts w:cs="CG Times" w:ascii="CG Times" w:hAnsi="CG Times"/>
          <w:spacing w:val="-3"/>
        </w:rPr>
      </w:r>
    </w:p>
    <w:p>
      <w:pPr>
        <w:pStyle w:val="Normal"/>
        <w:tabs>
          <w:tab w:val="clear" w:pos="720"/>
          <w:tab w:val="left" w:pos="-720" w:leader="none"/>
        </w:tabs>
        <w:suppressAutoHyphens w:val="true"/>
        <w:rPr>
          <w:rFonts w:ascii="CG Times" w:hAnsi="CG Times" w:cs="CG Times"/>
          <w:spacing w:val="-3"/>
        </w:rPr>
      </w:pPr>
      <w:r>
        <w:rPr>
          <w:rFonts w:cs="CG Times" w:ascii="CG Times" w:hAnsi="CG Times"/>
          <w:spacing w:val="-3"/>
        </w:rPr>
      </w:r>
    </w:p>
    <w:p>
      <w:pPr>
        <w:pStyle w:val="Normal"/>
        <w:tabs>
          <w:tab w:val="clear" w:pos="720"/>
          <w:tab w:val="left" w:pos="-720" w:leader="none"/>
        </w:tabs>
        <w:suppressAutoHyphens w:val="true"/>
        <w:rPr>
          <w:rFonts w:ascii="CG Times" w:hAnsi="CG Times" w:cs="CG Times"/>
          <w:spacing w:val="-3"/>
        </w:rPr>
      </w:pPr>
      <w:r>
        <w:rPr>
          <w:rFonts w:cs="CG Times" w:ascii="CG Times" w:hAnsi="CG Times"/>
          <w:spacing w:val="-3"/>
        </w:rPr>
      </w:r>
    </w:p>
    <w:p>
      <w:pPr>
        <w:pStyle w:val="NORMALDOUBLESPACED"/>
        <w:rPr>
          <w:rFonts w:ascii="CG Times" w:hAnsi="CG Times" w:cs="CG Times"/>
          <w:spacing w:val="-3"/>
        </w:rPr>
      </w:pPr>
      <w:r>
        <w:rPr>
          <w:rFonts w:cs="CG Times" w:ascii="CG Times" w:hAnsi="CG Times"/>
          <w:spacing w:val="-3"/>
        </w:rPr>
      </w:r>
    </w:p>
    <w:p>
      <w:pPr>
        <w:pStyle w:val="NORMALDOUBLESPACED"/>
        <w:rPr/>
      </w:pPr>
      <w:r>
        <w:rPr/>
      </w:r>
    </w:p>
    <w:p>
      <w:pPr>
        <w:pStyle w:val="NORMALDOUBLESPACED"/>
        <w:rPr/>
      </w:pPr>
      <w:r>
        <w:rPr/>
      </w:r>
    </w:p>
    <w:p>
      <w:pPr>
        <w:pStyle w:val="NORMALDOUBLESPACED"/>
        <w:rPr>
          <w:sz w:val="18"/>
        </w:rPr>
      </w:pPr>
      <w:r>
        <w:rPr>
          <w:sz w:val="18"/>
        </w:rPr>
        <w:t>K\kern\1209 GIR-RB</w:t>
      </w:r>
    </w:p>
    <w:sectPr>
      <w:footerReference w:type="default" r:id="rId4"/>
      <w:footerReference w:type="first" r:id="rId5"/>
      <w:footnotePr>
        <w:numFmt w:val="decimal"/>
      </w:footnotePr>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etica">
    <w:altName w:val="Arial"/>
    <w:charset w:val="00" w:characterSet="windows-1252"/>
    <w:family w:val="swiss"/>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sz w:val="10"/>
      </w:rPr>
    </w:pPr>
    <w:r>
      <w:rPr>
        <w:sz w:val="10"/>
      </w:rPr>
    </w:r>
  </w:p>
  <w:p>
    <w:pPr>
      <w:pStyle w:val="Normal"/>
      <w:tabs>
        <w:tab w:val="clear" w:pos="720"/>
        <w:tab w:val="left" w:pos="-720" w:leader="none"/>
      </w:tabs>
      <w:suppressAutoHyphens w:val="true"/>
      <w:rPr>
        <w:sz w:val="10"/>
      </w:rPr>
    </w:pPr>
    <w:r>
      <w:rPr>
        <w:sz w:val="10"/>
      </w:rPr>
    </w:r>
  </w:p>
  <w:p>
    <w:pPr>
      <w:pStyle w:val="Normal"/>
      <w:rPr>
        <w:lang w:val="en-CA"/>
      </w:rPr>
    </w:pPr>
    <w:r>
      <w:rPr>
        <w:lang w:val="en-CA"/>
      </w:rPr>
    </w:r>
    <w:r>
      <mc:AlternateContent>
        <mc:Choice Requires="wps">
          <w:drawing>
            <wp:anchor behindDoc="1" distT="0" distB="0" distL="114935" distR="114935" simplePos="0" locked="0" layoutInCell="0" allowOverlap="1" relativeHeight="10">
              <wp:simplePos x="0" y="0"/>
              <wp:positionH relativeFrom="page">
                <wp:posOffset>807720</wp:posOffset>
              </wp:positionH>
              <wp:positionV relativeFrom="paragraph">
                <wp:posOffset>152400</wp:posOffset>
              </wp:positionV>
              <wp:extent cx="6156960" cy="152400"/>
              <wp:effectExtent l="0" t="0" r="0" b="0"/>
              <wp:wrapNone/>
              <wp:docPr id="1" name="Frame1"/>
              <a:graphic xmlns:a="http://schemas.openxmlformats.org/drawingml/2006/main">
                <a:graphicData uri="http://schemas.microsoft.com/office/word/2010/wordprocessingShape">
                  <wps:wsp>
                    <wps:cNvSpPr txBox="1"/>
                    <wps:spPr>
                      <a:xfrm>
                        <a:off x="0" y="0"/>
                        <a:ext cx="6156960" cy="152400"/>
                      </a:xfrm>
                      <a:prstGeom prst="rect"/>
                      <a:solidFill>
                        <a:srgbClr val="FFFFFF">
                          <a:alpha val="0"/>
                        </a:srgbClr>
                      </a:solidFill>
                    </wps:spPr>
                    <wps:txbx>
                      <w:txbxContent>
                        <w:p>
                          <w:pPr>
                            <w:pStyle w:val="Normal"/>
                            <w:tabs>
                              <w:tab w:val="clear" w:pos="720"/>
                              <w:tab w:val="center" w:pos="4848" w:leader="none"/>
                              <w:tab w:val="right" w:pos="9696" w:leader="none"/>
                            </w:tabs>
                            <w:rPr/>
                          </w:pPr>
                          <w:r>
                            <w:rPr/>
                            <w:tab/>
                          </w:r>
                          <w:r>
                            <w:rPr>
                              <w:spacing w:val="-3"/>
                            </w:rPr>
                            <w:fldChar w:fldCharType="begin"/>
                          </w:r>
                          <w:r>
                            <w:rPr>
                              <w:spacing w:val="-3"/>
                            </w:rPr>
                            <w:instrText xml:space="preserve"> PAGE \* ARABIC </w:instrText>
                          </w:r>
                          <w:r>
                            <w:rPr>
                              <w:spacing w:val="-3"/>
                            </w:rPr>
                            <w:fldChar w:fldCharType="separate"/>
                          </w:r>
                          <w:r>
                            <w:rPr>
                              <w:spacing w:val="-3"/>
                            </w:rPr>
                            <w:t>10</w:t>
                          </w:r>
                          <w:r>
                            <w:rPr>
                              <w:spacing w:val="-3"/>
                            </w:rPr>
                            <w:fldChar w:fldCharType="end"/>
                          </w:r>
                        </w:p>
                      </w:txbxContent>
                    </wps:txbx>
                    <wps:bodyPr anchor="t" lIns="635" tIns="635" rIns="635" bIns="635">
                      <a:noAutofit/>
                    </wps:bodyPr>
                  </wps:wsp>
                </a:graphicData>
              </a:graphic>
            </wp:anchor>
          </w:drawing>
        </mc:Choice>
        <mc:Fallback>
          <w:pict>
            <v:rect fillcolor="#FFFFFF" style="position:absolute;rotation:-0;width:484.8pt;height:12pt;mso-wrap-distance-left:9.05pt;mso-wrap-distance-right:9.05pt;mso-wrap-distance-top:0pt;mso-wrap-distance-bottom:0pt;margin-top:12pt;mso-position-vertical-relative:text;margin-left:63.6pt;mso-position-horizontal-relative:page">
              <v:fill opacity="0f"/>
              <v:textbox inset="0.000694444444444445in,0.000694444444444445in,0.000694444444444445in,0.000694444444444445in">
                <w:txbxContent>
                  <w:p>
                    <w:pPr>
                      <w:pStyle w:val="Normal"/>
                      <w:tabs>
                        <w:tab w:val="clear" w:pos="720"/>
                        <w:tab w:val="center" w:pos="4848" w:leader="none"/>
                        <w:tab w:val="right" w:pos="9696" w:leader="none"/>
                      </w:tabs>
                      <w:rPr/>
                    </w:pPr>
                    <w:r>
                      <w:rPr/>
                      <w:tab/>
                    </w:r>
                    <w:r>
                      <w:rPr>
                        <w:spacing w:val="-3"/>
                      </w:rPr>
                      <w:fldChar w:fldCharType="begin"/>
                    </w:r>
                    <w:r>
                      <w:rPr>
                        <w:spacing w:val="-3"/>
                      </w:rPr>
                      <w:instrText xml:space="preserve"> PAGE \* ARABIC </w:instrText>
                    </w:r>
                    <w:r>
                      <w:rPr>
                        <w:spacing w:val="-3"/>
                      </w:rPr>
                      <w:fldChar w:fldCharType="separate"/>
                    </w:r>
                    <w:r>
                      <w:rPr>
                        <w:spacing w:val="-3"/>
                      </w:rPr>
                      <w:t>10</w:t>
                    </w:r>
                    <w:r>
                      <w:rPr>
                        <w:spacing w:val="-3"/>
                      </w:rPr>
                      <w:fldChar w:fldCharType="end"/>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sz w:val="10"/>
      </w:rPr>
    </w:pPr>
    <w:r>
      <w:rPr>
        <w:sz w:val="10"/>
      </w:rPr>
    </w:r>
  </w:p>
  <w:p>
    <w:pPr>
      <w:pStyle w:val="Normal"/>
      <w:tabs>
        <w:tab w:val="clear" w:pos="720"/>
        <w:tab w:val="left" w:pos="-720" w:leader="none"/>
      </w:tabs>
      <w:suppressAutoHyphens w:val="true"/>
      <w:rPr>
        <w:sz w:val="10"/>
      </w:rPr>
    </w:pPr>
    <w:r>
      <w:rPr>
        <w:sz w:val="10"/>
      </w:rPr>
    </w:r>
  </w:p>
  <w:p>
    <w:pPr>
      <w:pStyle w:val="Normal"/>
      <w:rPr>
        <w:lang w:val="en-CA"/>
      </w:rPr>
    </w:pPr>
    <w:r>
      <w:rPr>
        <w:lang w:val="en-CA"/>
      </w:rPr>
    </w:r>
    <w:r>
      <mc:AlternateContent>
        <mc:Choice Requires="wps">
          <w:drawing>
            <wp:anchor behindDoc="1" distT="0" distB="0" distL="114935" distR="114935" simplePos="0" locked="0" layoutInCell="1" allowOverlap="1" relativeHeight="0">
              <wp:simplePos x="0" y="0"/>
              <wp:positionH relativeFrom="page">
                <wp:posOffset>807720</wp:posOffset>
              </wp:positionH>
              <wp:positionV relativeFrom="paragraph">
                <wp:posOffset>152400</wp:posOffset>
              </wp:positionV>
              <wp:extent cx="6156960" cy="152400"/>
              <wp:effectExtent l="0" t="0" r="0" b="0"/>
              <wp:wrapNone/>
              <wp:docPr id="2" name="Frame2"/>
              <a:graphic xmlns:a="http://schemas.openxmlformats.org/drawingml/2006/main">
                <a:graphicData uri="http://schemas.microsoft.com/office/word/2010/wordprocessingShape">
                  <wps:wsp>
                    <wps:cNvSpPr txBox="1"/>
                    <wps:spPr>
                      <a:xfrm>
                        <a:off x="0" y="0"/>
                        <a:ext cx="6156960" cy="152400"/>
                      </a:xfrm>
                      <a:prstGeom prst="rect"/>
                      <a:solidFill>
                        <a:srgbClr val="FFFFFF">
                          <a:alpha val="0"/>
                        </a:srgbClr>
                      </a:solidFill>
                    </wps:spPr>
                    <wps:txbx>
                      <w:txbxContent>
                        <w:p>
                          <w:pPr>
                            <w:pStyle w:val="Normal"/>
                            <w:tabs>
                              <w:tab w:val="clear" w:pos="720"/>
                              <w:tab w:val="center" w:pos="4848" w:leader="none"/>
                              <w:tab w:val="right" w:pos="9696" w:leader="none"/>
                            </w:tabs>
                            <w:rPr/>
                          </w:pPr>
                          <w:r>
                            <w:rPr/>
                            <w:tab/>
                          </w:r>
                          <w:r>
                            <w:rPr>
                              <w:spacing w:val="-3"/>
                            </w:rPr>
                            <w:fldChar w:fldCharType="begin"/>
                          </w:r>
                          <w:r>
                            <w:rPr>
                              <w:spacing w:val="-3"/>
                            </w:rPr>
                            <w:instrText xml:space="preserve"> PAGE \* ARABIC </w:instrText>
                          </w:r>
                          <w:r>
                            <w:rPr>
                              <w:spacing w:val="-3"/>
                            </w:rPr>
                            <w:fldChar w:fldCharType="separate"/>
                          </w:r>
                          <w:r>
                            <w:rPr>
                              <w:spacing w:val="-3"/>
                            </w:rPr>
                            <w:t>0</w:t>
                          </w:r>
                          <w:r>
                            <w:rPr>
                              <w:spacing w:val="-3"/>
                            </w:rPr>
                            <w:fldChar w:fldCharType="end"/>
                          </w:r>
                        </w:p>
                      </w:txbxContent>
                    </wps:txbx>
                    <wps:bodyPr anchor="t" lIns="635" tIns="635" rIns="635" bIns="635">
                      <a:noAutofit/>
                    </wps:bodyPr>
                  </wps:wsp>
                </a:graphicData>
              </a:graphic>
            </wp:anchor>
          </w:drawing>
        </mc:Choice>
        <mc:Fallback>
          <w:pict>
            <v:rect fillcolor="#FFFFFF" style="position:absolute;rotation:-0;width:484.8pt;height:12pt;mso-wrap-distance-left:9.05pt;mso-wrap-distance-right:9.05pt;mso-wrap-distance-top:0pt;mso-wrap-distance-bottom:0pt;margin-top:12pt;mso-position-vertical-relative:text;margin-left:63.6pt;mso-position-horizontal-relative:page">
              <v:fill opacity="0f"/>
              <v:textbox inset="0.000694444444444445in,0.000694444444444445in,0.000694444444444445in,0.000694444444444445in">
                <w:txbxContent>
                  <w:p>
                    <w:pPr>
                      <w:pStyle w:val="Normal"/>
                      <w:tabs>
                        <w:tab w:val="clear" w:pos="720"/>
                        <w:tab w:val="center" w:pos="4848" w:leader="none"/>
                        <w:tab w:val="right" w:pos="9696" w:leader="none"/>
                      </w:tabs>
                      <w:rPr/>
                    </w:pPr>
                    <w:r>
                      <w:rPr/>
                      <w:tab/>
                    </w:r>
                    <w:r>
                      <w:rPr>
                        <w:spacing w:val="-3"/>
                      </w:rPr>
                      <w:fldChar w:fldCharType="begin"/>
                    </w:r>
                    <w:r>
                      <w:rPr>
                        <w:spacing w:val="-3"/>
                      </w:rPr>
                      <w:instrText xml:space="preserve"> PAGE \* ARABIC </w:instrText>
                    </w:r>
                    <w:r>
                      <w:rPr>
                        <w:spacing w:val="-3"/>
                      </w:rPr>
                      <w:fldChar w:fldCharType="separate"/>
                    </w:r>
                    <w:r>
                      <w:rPr>
                        <w:spacing w:val="-3"/>
                      </w:rPr>
                      <w:t>0</w:t>
                    </w:r>
                    <w:r>
                      <w:rPr>
                        <w:spacing w:val="-3"/>
                      </w:rPr>
                      <w:fldChar w:fldCharType="end"/>
                    </w:r>
                  </w:p>
                </w:txbxContent>
              </v:textbox>
              <w10:wrap type="non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40"/>
        <w:ind w:hanging="720" w:start="720" w:end="0"/>
        <w:rPr/>
      </w:pPr>
      <w:r>
        <w:rPr>
          <w:rStyle w:val="FootnoteCharacters"/>
        </w:rPr>
        <w:footnoteRef/>
      </w:r>
      <w:r>
        <w:rPr/>
        <w:t xml:space="preserve"> </w:t>
      </w:r>
      <w:r>
        <w:rPr/>
        <w:tab/>
      </w:r>
      <w:r>
        <w:rPr>
          <w:u w:val="single"/>
        </w:rPr>
        <w:t>See</w:t>
      </w:r>
      <w:r>
        <w:rPr/>
        <w:t xml:space="preserve"> Ex. 500 (Morgan Direct).</w:t>
      </w:r>
    </w:p>
  </w:footnote>
  <w:footnote w:id="3">
    <w:p>
      <w:pPr>
        <w:pStyle w:val="FootnoteText"/>
        <w:spacing w:before="0" w:after="240"/>
        <w:ind w:hanging="720" w:start="720" w:end="0"/>
        <w:rPr/>
      </w:pPr>
      <w:r>
        <w:rPr>
          <w:rStyle w:val="FootnoteCharacters"/>
        </w:rPr>
        <w:footnoteRef/>
      </w:r>
      <w:r>
        <w:rPr/>
        <w:t xml:space="preserve"> </w:t>
      </w:r>
      <w:r>
        <w:rPr/>
        <w:tab/>
        <w:t>PG&amp;E apparently based its assumption of 500 MMcf/d delivery capability by Kern River/Mojave to SoCalGas on the current configuration of Kern River/Mojave’s meters at Wheeler Ridge.  Mr. Weaver of El Paso explained, however, that changing the configuration of those meters to accommodate deliveries from Kern River/Mojave of up to 680 MMcf/d would be a routine matter of changing springs in the metering equipment.  Tr. 550:26 - 552:15 (Weaver, El Paso).</w:t>
      </w:r>
    </w:p>
  </w:footnote>
  <w:footnote w:id="4">
    <w:p>
      <w:pPr>
        <w:pStyle w:val="FootnoteText"/>
        <w:spacing w:before="0" w:after="240"/>
        <w:ind w:hanging="720" w:start="720" w:end="0"/>
        <w:rPr/>
      </w:pPr>
      <w:r>
        <w:rPr>
          <w:rStyle w:val="FootnoteCharacters"/>
        </w:rPr>
        <w:footnoteRef/>
      </w:r>
      <w:r>
        <w:rPr/>
        <w:t xml:space="preserve"> </w:t>
      </w:r>
      <w:r>
        <w:rPr/>
        <w:tab/>
        <w:t>PG&amp;E’s assertion that SoCalGas witness Lorenz “confirmed Mr. Hall’s conclusions using a different hypothetical” (PG&amp;E IB at 4) is without merit.  At the cited portion of Mr. Lorenz’s testimony on cross-examination (Tr. 390:7 - 394:10 (Lorenz, SoCalGas)), all that Mr. Lorenz “confirmed” was that in the hypothetical suggested by PG&amp;E’s counsel, the remaining capacity at PG&amp;E/Oxy would be available on a secondary rights or an interruptible basis.  Counsel never asked Mr. Lorenz about the likelihood of “bumping” or about whether the Comprehensive Settlement would in any way limit the ability of southern California consumers to obtain Canadian gas.  To the contrary, Mr. Lorenz testified that the Comprehensive Settlement would permit shippers holding Wheeler Ridge-North access rights the flexibility to divide, and/or to switch, their receipts of gas between PG&amp;E/Oxy and Kern River/Mojave in order to take advantage of market conditions.  Tr. 402 (Lorenz, SoCalGas).</w:t>
      </w:r>
    </w:p>
  </w:footnote>
  <w:footnote w:id="5">
    <w:p>
      <w:pPr>
        <w:pStyle w:val="FootnoteText"/>
        <w:spacing w:before="0" w:after="240"/>
        <w:ind w:hanging="720" w:start="720" w:end="0"/>
        <w:rPr/>
      </w:pPr>
      <w:r>
        <w:rPr>
          <w:rStyle w:val="FootnoteCharacters"/>
        </w:rPr>
        <w:footnoteRef/>
      </w:r>
      <w:r>
        <w:rPr/>
        <w:t xml:space="preserve"> </w:t>
      </w:r>
      <w:r>
        <w:rPr/>
        <w:tab/>
        <w:t xml:space="preserve">Mr. Hall explained that use of secondary rights in this manner would be perfectly satisfactory, because availability of the capacity would be essentially guaranteed.  </w:t>
      </w:r>
      <w:r>
        <w:rPr>
          <w:u w:val="single"/>
        </w:rPr>
        <w:t>See</w:t>
      </w:r>
      <w:r>
        <w:rPr/>
        <w:t xml:space="preserve"> Tr. 685:13 - 687:3 (Hall, PG&amp;E).  Recall that no shippers subscribed to Wheeler Ridge-South primary rights under this hypothetical.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numPr>
        <w:ilvl w:val="0"/>
        <w:numId w:val="1"/>
      </w:numPr>
      <w:jc w:val="center"/>
      <w:outlineLvl w:val="0"/>
    </w:pPr>
    <w:rPr>
      <w:b/>
      <w:caps/>
      <w:lang w:eastAsia="en-US"/>
    </w:rPr>
  </w:style>
  <w:style w:type="paragraph" w:styleId="Heading2">
    <w:name w:val="heading 2"/>
    <w:basedOn w:val="Normal"/>
    <w:next w:val="Normal"/>
    <w:qFormat/>
    <w:pPr>
      <w:numPr>
        <w:ilvl w:val="1"/>
        <w:numId w:val="1"/>
      </w:numPr>
      <w:spacing w:before="0" w:after="240"/>
      <w:ind w:hanging="720" w:start="720" w:end="0"/>
      <w:outlineLvl w:val="1"/>
    </w:pPr>
    <w:rPr>
      <w:b/>
      <w:lang w:eastAsia="en-US"/>
    </w:rPr>
  </w:style>
  <w:style w:type="paragraph" w:styleId="Heading3">
    <w:name w:val="heading 3"/>
    <w:basedOn w:val="Normal"/>
    <w:next w:val="Normal"/>
    <w:qFormat/>
    <w:pPr>
      <w:numPr>
        <w:ilvl w:val="2"/>
        <w:numId w:val="1"/>
      </w:numPr>
      <w:spacing w:before="0" w:after="240"/>
      <w:ind w:hanging="720" w:start="1440" w:end="0"/>
      <w:outlineLvl w:val="2"/>
    </w:pPr>
    <w:rPr>
      <w:b/>
      <w:lang w:eastAsia="en-US"/>
    </w:rPr>
  </w:style>
  <w:style w:type="paragraph" w:styleId="Heading4">
    <w:name w:val="heading 4"/>
    <w:basedOn w:val="Normal"/>
    <w:next w:val="Normal"/>
    <w:qFormat/>
    <w:pPr>
      <w:numPr>
        <w:ilvl w:val="3"/>
        <w:numId w:val="1"/>
      </w:numPr>
      <w:spacing w:before="0" w:after="240"/>
      <w:ind w:hanging="720" w:start="2160" w:end="0"/>
      <w:outlineLvl w:val="3"/>
    </w:pPr>
    <w:rPr>
      <w:b/>
      <w:lang w:eastAsia="en-US"/>
    </w:rPr>
  </w:style>
  <w:style w:type="paragraph" w:styleId="Heading5">
    <w:name w:val="heading 5"/>
    <w:basedOn w:val="Normal"/>
    <w:next w:val="Normal"/>
    <w:qFormat/>
    <w:pPr>
      <w:numPr>
        <w:ilvl w:val="4"/>
        <w:numId w:val="1"/>
      </w:numPr>
      <w:spacing w:before="0" w:after="240"/>
      <w:ind w:hanging="720" w:start="2880" w:end="0"/>
      <w:outlineLvl w:val="4"/>
    </w:pPr>
    <w:rPr>
      <w:b/>
      <w:lang w:eastAsia="en-US"/>
    </w:rPr>
  </w:style>
  <w:style w:type="paragraph" w:styleId="Heading6">
    <w:name w:val="heading 6"/>
    <w:basedOn w:val="Normal"/>
    <w:next w:val="Normal"/>
    <w:qFormat/>
    <w:pPr>
      <w:numPr>
        <w:ilvl w:val="5"/>
        <w:numId w:val="1"/>
      </w:numPr>
      <w:spacing w:before="0" w:after="240"/>
      <w:ind w:hanging="720" w:start="3600" w:end="0"/>
      <w:outlineLvl w:val="5"/>
    </w:pPr>
    <w:rPr>
      <w:b/>
    </w:rPr>
  </w:style>
  <w:style w:type="paragraph" w:styleId="Heading7">
    <w:name w:val="heading 7"/>
    <w:basedOn w:val="Normal"/>
    <w:next w:val="Normal"/>
    <w:qFormat/>
    <w:pPr>
      <w:numPr>
        <w:ilvl w:val="6"/>
        <w:numId w:val="1"/>
      </w:numPr>
      <w:spacing w:before="0" w:after="240"/>
      <w:ind w:hanging="720" w:start="4320" w:end="0"/>
      <w:outlineLvl w:val="6"/>
    </w:pPr>
    <w:rPr>
      <w:b/>
    </w:rPr>
  </w:style>
  <w:style w:type="paragraph" w:styleId="Heading8">
    <w:name w:val="heading 8"/>
    <w:basedOn w:val="Normal"/>
    <w:next w:val="Normal"/>
    <w:qFormat/>
    <w:pPr>
      <w:numPr>
        <w:ilvl w:val="7"/>
        <w:numId w:val="1"/>
      </w:numPr>
      <w:spacing w:before="0" w:after="240"/>
      <w:ind w:hanging="720" w:start="5040" w:end="0"/>
      <w:outlineLvl w:val="7"/>
    </w:pPr>
    <w:rPr>
      <w:b/>
    </w:rPr>
  </w:style>
  <w:style w:type="paragraph" w:styleId="Heading9">
    <w:name w:val="heading 9"/>
    <w:basedOn w:val="Normal"/>
    <w:next w:val="Normal"/>
    <w:qFormat/>
    <w:pPr>
      <w:numPr>
        <w:ilvl w:val="8"/>
        <w:numId w:val="1"/>
      </w:numPr>
      <w:spacing w:before="0" w:after="240"/>
      <w:ind w:hanging="720" w:start="5760" w:end="0"/>
      <w:outlineLvl w:val="8"/>
    </w:pPr>
    <w:rPr>
      <w:b/>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style>
  <w:style w:type="character" w:styleId="DefaultParagraphFont">
    <w:name w:val="Default Paragraph Font"/>
    <w:qFormat/>
    <w:rPr/>
  </w:style>
  <w:style w:type="character" w:styleId="LineNumber">
    <w:name w:val="line number"/>
    <w:basedOn w:val="DefaultParagraphFont"/>
    <w:rPr>
      <w:sz w:val="24"/>
    </w:rPr>
  </w:style>
  <w:style w:type="character" w:styleId="FootnoteCharacters">
    <w:name w:val="Footnote Characters"/>
    <w:basedOn w:val="DefaultParagraphFont"/>
    <w:qFormat/>
    <w:rPr>
      <w:sz w:val="24"/>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0" w:after="240"/>
      <w:ind w:hanging="720" w:start="720" w:end="0"/>
    </w:pPr>
    <w:rPr/>
  </w:style>
  <w:style w:type="paragraph" w:styleId="titlebar">
    <w:name w:val="title bar"/>
    <w:basedOn w:val="Normal"/>
    <w:qFormat/>
    <w:pPr>
      <w:keepNext w:val="true"/>
      <w:suppressAutoHyphens w:val="true"/>
      <w:jc w:val="center"/>
    </w:pPr>
    <w:rPr>
      <w:rFonts w:ascii="Helvetica;Arial" w:hAnsi="Helvetica;Arial" w:cs="Helvetica;Arial"/>
      <w:b/>
      <w:sz w:val="26"/>
    </w:rPr>
  </w:style>
  <w:style w:type="paragraph" w:styleId="PlainText">
    <w:name w:val="Plain Text"/>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rPr/>
  </w:style>
  <w:style w:type="paragraph" w:styleId="Footer">
    <w:name w:val="footer"/>
    <w:basedOn w:val="Normal"/>
    <w:pPr>
      <w:tabs>
        <w:tab w:val="clear" w:pos="720"/>
        <w:tab w:val="center" w:pos="4320" w:leader="none"/>
        <w:tab w:val="right" w:pos="8640" w:leader="none"/>
      </w:tabs>
    </w:pPr>
    <w:rPr/>
  </w:style>
  <w:style w:type="paragraph" w:styleId="TOC1">
    <w:name w:val="toc 1"/>
    <w:basedOn w:val="Normal"/>
    <w:next w:val="Normal"/>
    <w:pPr>
      <w:spacing w:before="0" w:after="240"/>
      <w:ind w:hanging="720" w:start="720" w:end="720"/>
      <w:jc w:val="start"/>
    </w:pPr>
    <w:rPr>
      <w:caps/>
    </w:rPr>
  </w:style>
  <w:style w:type="paragraph" w:styleId="TOC2">
    <w:name w:val="toc 2"/>
    <w:basedOn w:val="Normal"/>
    <w:next w:val="Normal"/>
    <w:pPr>
      <w:spacing w:before="0" w:after="240"/>
      <w:ind w:hanging="720" w:start="1440" w:end="720"/>
      <w:jc w:val="start"/>
    </w:pPr>
    <w:rPr/>
  </w:style>
  <w:style w:type="paragraph" w:styleId="TOC3">
    <w:name w:val="toc 3"/>
    <w:basedOn w:val="Normal"/>
    <w:next w:val="Normal"/>
    <w:pPr>
      <w:spacing w:before="0" w:after="240"/>
      <w:ind w:hanging="720" w:start="2160" w:end="720"/>
      <w:jc w:val="start"/>
    </w:pPr>
    <w:rPr/>
  </w:style>
  <w:style w:type="paragraph" w:styleId="TOC4">
    <w:name w:val="toc 4"/>
    <w:basedOn w:val="Normal"/>
    <w:next w:val="Normal"/>
    <w:pPr>
      <w:spacing w:before="0" w:after="240"/>
      <w:ind w:hanging="720" w:start="2880" w:end="720"/>
      <w:jc w:val="start"/>
    </w:pPr>
    <w:rPr/>
  </w:style>
  <w:style w:type="paragraph" w:styleId="TOC5">
    <w:name w:val="toc 5"/>
    <w:basedOn w:val="Normal"/>
    <w:next w:val="Normal"/>
    <w:pPr>
      <w:spacing w:before="0" w:after="240"/>
      <w:ind w:hanging="720" w:start="3600" w:end="720"/>
      <w:jc w:val="start"/>
    </w:pPr>
    <w:rPr/>
  </w:style>
  <w:style w:type="paragraph" w:styleId="TOC6">
    <w:name w:val="toc 6"/>
    <w:basedOn w:val="Normal"/>
    <w:next w:val="Normal"/>
    <w:pPr>
      <w:spacing w:before="0" w:after="240"/>
      <w:ind w:hanging="720" w:start="4320" w:end="720"/>
      <w:jc w:val="start"/>
    </w:pPr>
    <w:rPr/>
  </w:style>
  <w:style w:type="paragraph" w:styleId="TOC7">
    <w:name w:val="toc 7"/>
    <w:basedOn w:val="Normal"/>
    <w:next w:val="Normal"/>
    <w:pPr>
      <w:spacing w:before="0" w:after="240"/>
      <w:ind w:hanging="720" w:start="5040" w:end="720"/>
      <w:jc w:val="start"/>
    </w:pPr>
    <w:rPr/>
  </w:style>
  <w:style w:type="paragraph" w:styleId="TOC8">
    <w:name w:val="toc 8"/>
    <w:basedOn w:val="Normal"/>
    <w:next w:val="Normal"/>
    <w:pPr>
      <w:spacing w:before="0" w:after="240"/>
      <w:ind w:hanging="720" w:start="5760" w:end="720"/>
      <w:jc w:val="start"/>
    </w:pPr>
    <w:rPr/>
  </w:style>
  <w:style w:type="paragraph" w:styleId="TOC9">
    <w:name w:val="toc 9"/>
    <w:basedOn w:val="Normal"/>
    <w:next w:val="Normal"/>
    <w:pPr>
      <w:spacing w:before="0" w:after="240"/>
      <w:ind w:hanging="720" w:start="6480" w:end="720"/>
      <w:jc w:val="start"/>
    </w:pPr>
    <w:rPr/>
  </w:style>
  <w:style w:type="paragraph" w:styleId="BlockText">
    <w:name w:val="Block Text"/>
    <w:basedOn w:val="Normal"/>
    <w:qFormat/>
    <w:pPr>
      <w:spacing w:before="0" w:after="240"/>
      <w:ind w:hanging="0" w:start="1440" w:end="1440"/>
    </w:pPr>
    <w:rPr/>
  </w:style>
  <w:style w:type="paragraph" w:styleId="NORMALDOUBLESPACED">
    <w:name w:val="NORMAL DOUBLE SPACED"/>
    <w:basedOn w:val="Normal"/>
    <w:qFormat/>
    <w:pPr>
      <w:spacing w:lineRule="auto" w:line="48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2000-07-24T15:58:00Z</dcterms:created>
  <dc:creator>Michael Thompson</dc:creator>
  <dc:description/>
  <dc:language>en-CA</dc:language>
  <cp:lastModifiedBy>Amelia Rivera</cp:lastModifiedBy>
  <dcterms:modified xsi:type="dcterms:W3CDTF">2000-07-28T16:08:00Z</dcterms:modified>
  <cp:revision>11</cp:revision>
  <dc:subject/>
  <dc:title>BEFORE THE PUBLIC UTILITIES COMMISSION OF THE STATE OF CALIFORNIA</dc:title>
</cp:coreProperties>
</file>