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508"/>
        <w:gridCol w:w="4050"/>
      </w:tblGrid>
      <w:tr>
        <w:trPr/>
        <w:tc>
          <w:tcPr>
            <w:tcW w:w="550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050" w:type="dxa"/>
            <w:tcBorders/>
          </w:tcPr>
          <w:p>
            <w:pPr>
              <w:pStyle w:val="Normal"/>
              <w:snapToGrid w:val="false"/>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pPr>
            <w:r>
              <w:rPr/>
              <w:t>I. 99-07-003</w:t>
            </w:r>
          </w:p>
        </w:tc>
      </w:tr>
    </w:tbl>
    <w:p>
      <w:pPr>
        <w:pStyle w:val="Normal"/>
        <w:suppressAutoHyphens w:val="true"/>
        <w:rPr/>
      </w:pPr>
      <w:r>
        <w:rPr/>
      </w:r>
    </w:p>
    <w:p>
      <w:pPr>
        <w:pStyle w:val="Normal"/>
        <w:rPr/>
      </w:pPr>
      <w:r>
        <w:rPr/>
      </w:r>
    </w:p>
    <w:p>
      <w:pPr>
        <w:pStyle w:val="Heading1"/>
        <w:ind w:hanging="0" w:start="0"/>
        <w:rPr>
          <w:caps w:val="false"/>
          <w:smallCaps w:val="false"/>
          <w:lang w:eastAsia="en-CA"/>
        </w:rPr>
      </w:pPr>
      <w:r>
        <w:rPr>
          <w:caps w:val="false"/>
          <w:smallCaps w:val="false"/>
          <w:lang w:eastAsia="en-CA"/>
        </w:rPr>
        <w:t>Initial Brief of</w:t>
      </w:r>
    </w:p>
    <w:p>
      <w:pPr>
        <w:pStyle w:val="Heading1"/>
        <w:ind w:hanging="0" w:start="0"/>
        <w:rPr>
          <w:caps w:val="false"/>
          <w:smallCaps w:val="false"/>
          <w:lang w:eastAsia="en-CA"/>
        </w:rPr>
      </w:pPr>
      <w:r>
        <w:rPr>
          <w:caps w:val="false"/>
          <w:smallCaps w:val="false"/>
          <w:lang w:eastAsia="en-CA"/>
        </w:rPr>
        <w:t>Kern River Gas Transmission Company</w:t>
      </w:r>
    </w:p>
    <w:p>
      <w:pPr>
        <w:pStyle w:val="Normal"/>
        <w:jc w:val="center"/>
        <w:rPr>
          <w:smallCaps/>
          <w:lang w:eastAsia="en-CA"/>
        </w:rPr>
      </w:pPr>
      <w:r>
        <w:rPr>
          <w:smallCaps/>
          <w:lang w:eastAsia="en-CA"/>
        </w:rPr>
      </w:r>
    </w:p>
    <w:p>
      <w:pPr>
        <w:pStyle w:val="NORMALDOUBLESPACED"/>
        <w:rPr/>
      </w:pPr>
      <w:r>
        <w:rPr/>
        <w:tab/>
        <w:t>In accordance with the schedule established by ALJ Biren at the conclusion of the hearing in the current phase of the proceeding captioned above, Kern River Gas Transmission Company (“Kern River”) submits its initial brief in this matter.  In the event that the Commission adopts the Comprehensive Settlement Agreement proposed by Southern California Gas Company (“SoCalGas”), et al., Kern River urges the Commission to incorporate the minor modification to the settlement that Kern River will describe below.</w:t>
      </w:r>
    </w:p>
    <w:p>
      <w:pPr>
        <w:pStyle w:val="NORMALDOUBLESPACED"/>
        <w:jc w:val="center"/>
        <w:rPr>
          <w:b/>
        </w:rPr>
      </w:pPr>
      <w:r>
        <w:rPr>
          <w:b/>
        </w:rPr>
        <w:t>Introduction</w:t>
      </w:r>
    </w:p>
    <w:p>
      <w:pPr>
        <w:pStyle w:val="NORMALDOUBLESPACED"/>
        <w:rPr/>
      </w:pPr>
      <w:r>
        <w:rPr/>
        <w:tab/>
        <w:t xml:space="preserve"> The Commission initiated this proceeding for the purpose of exploring the costs and benefits of the promising options for restructuring California’s natural gas industry that the Commission identified in its Decision (D.) 99-07-015, and to assess the final proposals to include in a report to the Legislature.  </w:t>
      </w:r>
      <w:r>
        <w:rPr>
          <w:u w:val="single"/>
        </w:rPr>
        <w:t>See</w:t>
      </w:r>
      <w:r>
        <w:rPr/>
        <w:t xml:space="preserve"> Order Instituting Investigation (“OII”), I.99-07-003, at 1 (July 8, 1999).  The OII established procedures for developing evidence on these topics, but also encouraged the parties to reach one or more settlements regarding the identified issues.  </w:t>
      </w:r>
      <w:r>
        <w:rPr>
          <w:u w:val="single"/>
        </w:rPr>
        <w:t>Id</w:t>
      </w:r>
      <w:r>
        <w:rPr/>
        <w:t>. at 3-4.</w:t>
      </w:r>
    </w:p>
    <w:p>
      <w:pPr>
        <w:pStyle w:val="NORMALDOUBLESPACED"/>
        <w:rPr/>
      </w:pPr>
      <w:r>
        <w:rPr/>
        <w:tab/>
        <w:t xml:space="preserve">Now pending before the Commission are three proposed settlement agreements, the Interim Settlement, filed on December 27, 1999; the Comprehensive Settlement, filed on April 17, 2000; and the Post-Interim Settlement, filed on April 3, 2000.  All of the settlements propose to restructure, albeit to different degrees, on different schedules, and, in some respects, in different ways, SoCalGas’s natural gas storage, transportation and sales services.  </w:t>
      </w:r>
    </w:p>
    <w:p>
      <w:pPr>
        <w:pStyle w:val="NORMALDOUBLESPACED"/>
        <w:rPr/>
      </w:pPr>
      <w:r>
        <w:rPr/>
        <w:tab/>
      </w:r>
      <w:r>
        <w:rPr>
          <w:spacing w:val="-3"/>
        </w:rPr>
        <w:t>Kern River owns and operates an interstate natural gas pipeline system extending from gas producing areas in southwestern Wyoming, across the states of Utah and Nevada, to points of termination in Kern County, California.  The system has a maximum firm capacity of approximately 700 million cubic feet per day (“MMcf/d”) of gas.  Near Daggett, California, Kern River's pipeline converges with the interstate pipeline facilities of Mojave Pipeline Company to form a single, jointly owned pipeline, referred to as the "Common Facilities," that extends from Daggett to the systems’ termini in Kern County.  Kern River delivers gas through direct connections to several enhanced oil recovery (“EOR”) and related cogeneration facilities located in the oil fields of Kern County.  It also makes substantial deliveries into the SoCalGas system for redelivery to consumers on the SoCalGas system through an interconnection located at Wheeler Ridge in Kern County.</w:t>
      </w:r>
    </w:p>
    <w:p>
      <w:pPr>
        <w:pStyle w:val="NORMALDOUBLESPACED"/>
        <w:jc w:val="center"/>
        <w:rPr>
          <w:spacing w:val="-3"/>
        </w:rPr>
      </w:pPr>
      <w:r>
        <w:rPr>
          <w:b/>
          <w:spacing w:val="-3"/>
        </w:rPr>
        <w:t>Discussion</w:t>
      </w:r>
    </w:p>
    <w:p>
      <w:pPr>
        <w:pStyle w:val="NORMALDOUBLESPACED"/>
        <w:rPr/>
      </w:pPr>
      <w:r>
        <w:rPr/>
        <w:tab/>
        <w:t>Kern River neither advocates nor opposes the Commission’s approval of any of the pending settlements.  In the event that the Commission decides to accept the Comprehensive Settlement, Kern River contends that the Commission (1) should modify the settlement’s treatment of capacity rights at new receipt points on the SoCalGas system and (2) should reject Pacific Gas &amp; Electric Company’s (“PG&amp;E’s”) proposal to change the settlement’s allocation of access rights at SoCalGas’s Wheeler Ridge receipt point.</w:t>
      </w:r>
    </w:p>
    <w:p>
      <w:pPr>
        <w:pStyle w:val="NORMALDOUBLESPACED"/>
        <w:spacing w:lineRule="auto" w:line="240"/>
        <w:ind w:hanging="720" w:start="720" w:end="0"/>
        <w:rPr>
          <w:b/>
        </w:rPr>
      </w:pPr>
      <w:r>
        <w:rPr>
          <w:b/>
        </w:rPr>
        <w:t>1.</w:t>
        <w:tab/>
        <w:t>New Interconnections That Do Not Degrade Existing Capacity Should Have Primary Access Rights.</w:t>
      </w:r>
    </w:p>
    <w:p>
      <w:pPr>
        <w:pStyle w:val="NORMALDOUBLESPACED"/>
        <w:spacing w:lineRule="auto" w:line="240"/>
        <w:rPr>
          <w:b/>
        </w:rPr>
      </w:pPr>
      <w:r>
        <w:rPr>
          <w:b/>
        </w:rPr>
      </w:r>
    </w:p>
    <w:p>
      <w:pPr>
        <w:pStyle w:val="NORMALDOUBLESPACED"/>
        <w:rPr/>
      </w:pPr>
      <w:r>
        <w:rPr/>
        <w:tab/>
        <w:t xml:space="preserve">If the Commission adopts the Comprehensive Settlement, Kern River urges it to modify the agreement in one minor, but important, respect.  One of the principal components of the Comprehensive Settlement is its creation of tradable capacity rights for intrastate transportation customers.  To facilitate those rights, the settlement would create primary and secondary rights to bring gas into the SoCalGas system at each of the utility’s interconnections with interstate pipelines and other receipt points.  Gas scheduled with primary rights would have priority to capacity over gas scheduled with secondary rights.  </w:t>
      </w:r>
    </w:p>
    <w:p>
      <w:pPr>
        <w:pStyle w:val="NORMALDOUBLESPACED"/>
        <w:ind w:firstLine="720" w:end="0"/>
        <w:rPr/>
      </w:pPr>
      <w:r>
        <w:rPr/>
        <w:t>Appendix B to the Comprehensive Settlement, however, states that “[a]ll new or expanded interconnections will have secondary access rights only, and will be subject to bumping by gas scheduled through primary access points.”  Ex. 1, App. B at 2.  Kern River submits that this provision would unjustifiably and unnecessarily discriminate against new pipelines and new interconnections with existing pipelines.</w:t>
      </w:r>
    </w:p>
    <w:p>
      <w:pPr>
        <w:pStyle w:val="NORMALDOUBLESPACED"/>
        <w:ind w:firstLine="720" w:end="0"/>
        <w:rPr/>
      </w:pPr>
      <w:r>
        <w:rPr/>
        <w:t xml:space="preserve">Kern River’s witness Kirk T. Morgan provided unrebutted testimony explaining the merits of Kern River’s position.  </w:t>
      </w:r>
      <w:r>
        <w:rPr>
          <w:u w:val="single"/>
        </w:rPr>
        <w:t>See</w:t>
      </w:r>
      <w:r>
        <w:rPr/>
        <w:t xml:space="preserve"> Ex. 500 (Morgan Direct).  While it makes sense to provide priority to existing interconnections to recognize the financial commitments that SoCalGas’s customers have made in support of those facilities, such a priority is reasonable, Mr. Morgan stated, only to the extent that new interconnections otherwise would degrade customers’ primary rights at existing interconnections.  </w:t>
      </w:r>
      <w:r>
        <w:rPr>
          <w:u w:val="single"/>
        </w:rPr>
        <w:t>Id</w:t>
      </w:r>
      <w:r>
        <w:rPr/>
        <w:t xml:space="preserve">. at 3-4.  When primary rights at a new interconnection would not degrade rights at existing interconnections, however, there is no justification for providing only secondary access at the new point.  Providing primary rights at new interconnections when the new points do not degrade primary delivery capacity at existing receipt points on the SoCalGas system would facilitate access to lower-cost supplies by encouraging pipeline expansions to provide greater access to such supplies.   </w:t>
      </w:r>
      <w:r>
        <w:rPr>
          <w:u w:val="single"/>
        </w:rPr>
        <w:t>Id</w:t>
      </w:r>
      <w:r>
        <w:rPr/>
        <w:t xml:space="preserve">. at 3.  </w:t>
      </w:r>
    </w:p>
    <w:p>
      <w:pPr>
        <w:pStyle w:val="NORMALDOUBLESPACED"/>
        <w:ind w:firstLine="720" w:end="0"/>
        <w:rPr/>
      </w:pPr>
      <w:r>
        <w:rPr/>
        <w:t>Mr. Morgan’s unrefuted testimony provides a sound foundation for the Commission to accept Kern River’s proposed modification to the Comprehensive Settlement.  Therefore, in the event that the Commission approves the Comprehensive Settlement, Kern River urges the Commission to incorporate the minor change that Mr. Morgan described in his direct testimony.</w:t>
      </w:r>
    </w:p>
    <w:p>
      <w:pPr>
        <w:pStyle w:val="NORMALDOUBLESPACED"/>
        <w:rPr>
          <w:b/>
        </w:rPr>
      </w:pPr>
      <w:r>
        <w:rPr>
          <w:b/>
        </w:rPr>
        <w:t>2.</w:t>
        <w:tab/>
        <w:t>PG&amp;E’s Proposed Change To Wheeler Ridge Access Rights Is Unjustified.</w:t>
      </w:r>
    </w:p>
    <w:p>
      <w:pPr>
        <w:pStyle w:val="NORMALDOUBLESPACED"/>
        <w:ind w:firstLine="720" w:end="0"/>
        <w:rPr/>
      </w:pPr>
      <w:r>
        <w:rPr/>
        <w:t xml:space="preserve">On behalf of PG&amp;E, Mr. Richard Hall proposed to modify the Comprehensive Settlement’s terms for allocating capacity rights at SoCalGas’s Wheeler Ridge receipt point.  </w:t>
      </w:r>
      <w:r>
        <w:rPr>
          <w:u w:val="single"/>
        </w:rPr>
        <w:t>See</w:t>
      </w:r>
      <w:r>
        <w:rPr/>
        <w:t xml:space="preserve"> Ex. 700 at 5-9 (Hall Direct).  Kern River urges the Commission, if it accepts the Comprehensive Settlement, to reject PG&amp;E’s flawed and unwarranted proposal.  The Comprehensive Settlement would allocate capacity rights at Wheeler Ridge in accordance with the physical capabilities of SoCalGas’s and interconnecting parties’ facilities.  PG&amp;E, however, bases its proposed change to the settlement on a patently erroneous assumption that the delivery capability of the Kern River/Mojave facilities at Wheeler Ridge is limited to 500 MMcf/d. </w:t>
      </w:r>
    </w:p>
    <w:p>
      <w:pPr>
        <w:pStyle w:val="NORMALDOUBLESPACED"/>
        <w:ind w:firstLine="720" w:end="0"/>
        <w:rPr/>
      </w:pPr>
      <w:r>
        <w:rPr/>
        <w:t xml:space="preserve">Wheeler Ridge is a complex of facilities that includes interconnections with Kern River and Mojave at a southern point, which the Comprehensive Settlement calls “Wheeler Ridge-South,” and interconnections with PG&amp;E and Occidental Petroleum (Oxy) at a northern point, which the Comprehensive Settlement calls “Wheeler Ridge-North.”  SoCalGas’s total takeaway capacity from Wheeler Ridge is 680 MMcf/d, but it can reach that capacity only if it receives at least 160 MMcf/d from Kern River/Mojave.  SoCalGas’s maximum takeaway capacity when it receives no gas from Kern River/Mojave is only 520 MMcf/d.  In contrast, however, SoCalGas can reach its total takeaway capacity of 680 MMcf/d at Wheeler Ridge even if none of the gas comes from PG&amp;E/Oxy, i.e., if SoCalGas receives all 680 MMcf/d from Kern River/Mojave.  </w:t>
      </w:r>
      <w:r>
        <w:rPr>
          <w:u w:val="single"/>
        </w:rPr>
        <w:t>See</w:t>
      </w:r>
      <w:r>
        <w:rPr/>
        <w:t xml:space="preserve"> Ex. 601 at 2-3 (Weaver Direct).</w:t>
      </w:r>
    </w:p>
    <w:p>
      <w:pPr>
        <w:pStyle w:val="NORMALDOUBLESPACED"/>
        <w:ind w:firstLine="720" w:end="0"/>
        <w:rPr/>
      </w:pPr>
      <w:r>
        <w:rPr/>
        <w:t>Consistent with these undisputed, physical facts, the Comprehensive Settlement would establish the following access rights at Wheeler Ridge:</w:t>
      </w:r>
    </w:p>
    <w:tbl>
      <w:tblPr>
        <w:tblW w:w="8100" w:type="dxa"/>
        <w:jc w:val="start"/>
        <w:tblInd w:w="360" w:type="dxa"/>
        <w:tblLayout w:type="fixed"/>
        <w:tblCellMar>
          <w:top w:w="0" w:type="dxa"/>
          <w:start w:w="108" w:type="dxa"/>
          <w:bottom w:w="0" w:type="dxa"/>
          <w:end w:w="108" w:type="dxa"/>
        </w:tblCellMar>
      </w:tblPr>
      <w:tblGrid>
        <w:gridCol w:w="1710"/>
        <w:gridCol w:w="1710"/>
        <w:gridCol w:w="2790"/>
        <w:gridCol w:w="1890"/>
      </w:tblGrid>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sz w:val="22"/>
                <w:u w:val="single"/>
              </w:rPr>
            </w:pPr>
            <w:r>
              <w:rPr>
                <w:sz w:val="22"/>
                <w:u w:val="single"/>
              </w:rPr>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sz w:val="22"/>
                <w:u w:val="single"/>
              </w:rPr>
              <w:t xml:space="preserve">Firm Capacity </w:t>
            </w:r>
            <w:r>
              <w:fldChar w:fldCharType="begin"/>
            </w:r>
            <w:r>
              <w:rPr/>
              <w:instrText xml:space="preserve"> TC "Firm Capacity "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rPr>
            </w:pPr>
            <w:r>
              <w:rPr>
                <w:sz w:val="20"/>
              </w:rPr>
              <w:t>(MMcf/d)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u w:val="single"/>
              </w:rPr>
            </w:pPr>
            <w:r>
              <w:rPr>
                <w:sz w:val="22"/>
                <w:u w:val="single"/>
              </w:rPr>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u w:val="single"/>
              </w:rPr>
            </w:pPr>
            <w:r>
              <w:rPr>
                <w:sz w:val="22"/>
                <w:u w:val="single"/>
              </w:rPr>
              <w:t xml:space="preserve">Primary Interconnection </w:t>
            </w:r>
            <w:r>
              <w:fldChar w:fldCharType="begin"/>
            </w:r>
            <w:r>
              <w:rPr/>
              <w:instrText xml:space="preserve"> TC "Primary Interconnection " \l 1 </w:instrText>
            </w:r>
            <w:r>
              <w:rPr/>
              <w:fldChar w:fldCharType="separate"/>
            </w:r>
            <w:r>
              <w:rPr/>
            </w:r>
            <w:r>
              <w:rPr/>
              <w:fldChar w:fldCharType="end"/>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u w:val="single"/>
              </w:rPr>
              <w:t>Secondary Interconnection</w:t>
            </w:r>
            <w:r>
              <w:fldChar w:fldCharType="begin"/>
            </w:r>
            <w:r>
              <w:rPr/>
              <w:instrText xml:space="preserve"> TC "Secondary Interconnection"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s>
              <w:rPr>
                <w:sz w:val="22"/>
              </w:rPr>
            </w:pPr>
            <w:r>
              <w:rPr>
                <w:sz w:val="22"/>
              </w:rPr>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Wheeler Ridge-North</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520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 xml:space="preserve">PG&amp;E, Oxy, Kern/Mojave </w:t>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None</w:t>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Wheeler Ridge-South</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160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Kern/Mojave</w:t>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rPr>
                <w:sz w:val="22"/>
              </w:rPr>
            </w:pPr>
            <w:r>
              <w:rPr>
                <w:sz w:val="22"/>
              </w:rPr>
              <w:t>PG&amp;E, Oxy</w:t>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t>Total</w:t>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t>680</w:t>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p>
            <w:pPr>
              <w:pStyle w:val="Normal"/>
              <w:keepNext w:val="true"/>
              <w:keepLines/>
              <w:tabs>
                <w:tab w:val="left" w:pos="0" w:leader="none"/>
                <w:tab w:val="left" w:pos="720" w:leader="none"/>
                <w:tab w:val="left" w:pos="1440" w:leader="none"/>
                <w:tab w:val="left" w:pos="2160" w:leader="none"/>
              </w:tabs>
              <w:rPr>
                <w:sz w:val="22"/>
              </w:rPr>
            </w:pPr>
            <w:r>
              <w:rPr>
                <w:sz w:val="22"/>
              </w:rPr>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r>
      <w:tr>
        <w:trPr/>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171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27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c>
          <w:tcPr>
            <w:tcW w:w="1890" w:type="dxa"/>
            <w:tcBorders>
              <w:top w:val="single" w:sz="6" w:space="0" w:color="FFFFFF"/>
              <w:start w:val="single" w:sz="6" w:space="0" w:color="FFFFFF"/>
              <w:bottom w:val="single" w:sz="6" w:space="0" w:color="FFFFFF"/>
              <w:end w:val="single" w:sz="6" w:space="0" w:color="FFFFFF"/>
            </w:tcBorders>
          </w:tcPr>
          <w:p>
            <w:pPr>
              <w:pStyle w:val="Normal"/>
              <w:keepNext w:val="true"/>
              <w:keepLines/>
              <w:tabs>
                <w:tab w:val="left" w:pos="0" w:leader="none"/>
                <w:tab w:val="left" w:pos="720" w:leader="none"/>
                <w:tab w:val="left" w:pos="1440" w:leader="none"/>
                <w:tab w:val="left" w:pos="2160" w:leader="none"/>
              </w:tabs>
              <w:snapToGrid w:val="false"/>
              <w:rPr>
                <w:sz w:val="22"/>
              </w:rPr>
            </w:pPr>
            <w:r>
              <w:rPr>
                <w:sz w:val="22"/>
              </w:rPr>
            </w:r>
          </w:p>
        </w:tc>
      </w:tr>
    </w:tbl>
    <w:p>
      <w:pPr>
        <w:pStyle w:val="NORMALDOUBLESPACED"/>
        <w:rPr/>
      </w:pPr>
      <w:r>
        <w:rPr/>
        <w:t>Ex. 1 (Comprehensive Settlement Agreement) at App. B., p.2.</w:t>
      </w:r>
    </w:p>
    <w:p>
      <w:pPr>
        <w:pStyle w:val="NORMALDOUBLESPACED"/>
        <w:rPr/>
      </w:pPr>
      <w:r>
        <w:rPr/>
        <w:tab/>
        <w:t xml:space="preserve">PG&amp;E’s witness Hall, however, premised his proposed modification of the Wheeler Ridge access rights on his assumption that Kern River/Mojave’s total firm delivery capability at Wheeler Ridge is only 500 MMcf/d.  Ex. 700 at 6-8.  According to Mr. Hall, the Comprehensive Settlement’s allocation of access rights at Wheeler Ridge therefore could result in curtailment for firm shippers if shippers nominated more than 500 MMcf/d of firm service from Kern River/Mojave.  </w:t>
      </w:r>
      <w:r>
        <w:rPr>
          <w:u w:val="single"/>
        </w:rPr>
        <w:t>Id</w:t>
      </w:r>
      <w:r>
        <w:rPr/>
        <w:t xml:space="preserve">. at 7.  </w:t>
      </w:r>
    </w:p>
    <w:p>
      <w:pPr>
        <w:pStyle w:val="NORMALDOUBLESPACED"/>
        <w:ind w:firstLine="720" w:end="0"/>
        <w:rPr/>
      </w:pPr>
      <w:r>
        <w:rPr/>
        <w:t>But Mr. Hall’s critical assumption about Kern River/Mojave’s delivery capability is incorrect.  Kern River and Mojave together are capable of delivering to SoCalGas the full 680 MMcf/d that SoCalGas is capable of receiving at that point.  Ex. 501 at 2 (Morgan Rebuttal); Ex. 601 at 4 (Weaver Rebuttal).  Accordingly, there would be no risk of curtailment of any firm service at Wheeler Ridge even if shippers nominated receipts from Kern River/Mojave equal to SoCalGas’s entire takeaway capacity of 680 MMcf/d.  The Commission, therefore, should reject PG&amp;E’s ill-conceived and factually unfounded proposal to alter the Comprehensive Settlement’s allocation of access rights at Wheeler Ridge.</w:t>
      </w:r>
    </w:p>
    <w:p>
      <w:pPr>
        <w:pStyle w:val="NORMALDOUBLESPACED"/>
        <w:rPr/>
      </w:pPr>
      <w:r>
        <w:rPr/>
        <w:tab/>
        <w:tab/>
        <w:tab/>
        <w:tab/>
        <w:tab/>
        <w:tab/>
        <w:tab/>
        <w:tab/>
        <w:t>Respectfully submitted,</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b/>
          <w:spacing w:val="-3"/>
        </w:rPr>
        <w:tab/>
        <w:tab/>
        <w:tab/>
        <w:tab/>
        <w:tab/>
        <w:tab/>
        <w:tab/>
        <w:tab/>
        <w:t>WRIGHT &amp; TALISMAN, P.C.</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ab/>
        <w:t xml:space="preserve">    By _____________________________</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Mark C. Moench</w:t>
        <w:tab/>
        <w:tab/>
        <w:tab/>
        <w:tab/>
        <w:tab/>
        <w:tab/>
        <w:t>Michael J. Thompson</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Senior Counsel</w:t>
        <w:tab/>
        <w:tab/>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Williams Gas Pipelines - West</w:t>
        <w:tab/>
        <w:tab/>
        <w:tab/>
        <w:tab/>
        <w:t>1200 G Street, N.W.</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295 Chipeta Way</w:t>
        <w:tab/>
        <w:tab/>
        <w:tab/>
        <w:tab/>
        <w:tab/>
        <w:tab/>
        <w:t>Suite 600</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Salt Lake City, Utah  84158</w:t>
        <w:tab/>
        <w:tab/>
        <w:tab/>
        <w:tab/>
        <w:tab/>
        <w:t>Washington, D.C.  20005</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(801) 584-7059</w:t>
        <w:tab/>
        <w:tab/>
        <w:tab/>
        <w:tab/>
        <w:tab/>
        <w:tab/>
        <w:t xml:space="preserve">(202) 393-1200 </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center" w:pos="4848" w:leader="none"/>
        </w:tabs>
        <w:suppressAutoHyphens w:val="true"/>
        <w:rPr>
          <w:rFonts w:ascii="CG Times" w:hAnsi="CG Times" w:cs="CG Times"/>
          <w:b/>
          <w:spacing w:val="-3"/>
        </w:rPr>
      </w:pPr>
      <w:r>
        <w:rPr>
          <w:rFonts w:cs="CG Times" w:ascii="CG Times" w:hAnsi="CG Times"/>
          <w:b/>
          <w:spacing w:val="-3"/>
        </w:rPr>
        <w:tab/>
        <w:t>Attorneys for</w:t>
      </w:r>
    </w:p>
    <w:p>
      <w:pPr>
        <w:pStyle w:val="Normal"/>
        <w:tabs>
          <w:tab w:val="clear" w:pos="720"/>
          <w:tab w:val="center" w:pos="4848" w:leader="none"/>
        </w:tabs>
        <w:suppressAutoHyphens w:val="true"/>
        <w:rPr>
          <w:rFonts w:ascii="CG Times" w:hAnsi="CG Times" w:cs="CG Times"/>
          <w:b/>
          <w:spacing w:val="-3"/>
        </w:rPr>
      </w:pPr>
      <w:r>
        <w:rPr>
          <w:rFonts w:cs="CG Times" w:ascii="CG Times" w:hAnsi="CG Times"/>
          <w:b/>
          <w:spacing w:val="-3"/>
        </w:rPr>
        <w:tab/>
        <w:t>Kern River Gas Transmission Company</w:t>
      </w:r>
    </w:p>
    <w:p>
      <w:pPr>
        <w:pStyle w:val="Normal"/>
        <w:tabs>
          <w:tab w:val="clear" w:pos="720"/>
          <w:tab w:val="left" w:pos="-720" w:leader="none"/>
        </w:tabs>
        <w:suppressAutoHyphens w:val="true"/>
        <w:rPr>
          <w:rFonts w:ascii="CG Times" w:hAnsi="CG Times" w:cs="CG Times"/>
          <w:b/>
          <w:spacing w:val="-3"/>
        </w:rPr>
      </w:pPr>
      <w:r>
        <w:rPr>
          <w:rFonts w:cs="CG Times" w:ascii="CG Times" w:hAnsi="CG Times"/>
          <w:b/>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July 10, 2000</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sectPr>
          <w:footerReference w:type="default" r:id="rId2"/>
          <w:footerReference w:type="first" r:id="rId3"/>
          <w:type w:val="nextPage"/>
          <w:pgSz w:w="12240" w:h="15840"/>
          <w:pgMar w:left="1272" w:right="1272" w:gutter="0" w:header="0" w:top="1440"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center" w:pos="4848" w:leader="none"/>
        </w:tabs>
        <w:suppressAutoHyphens w:val="true"/>
        <w:rPr>
          <w:rFonts w:ascii="CG Times" w:hAnsi="CG Times" w:cs="CG Times"/>
          <w:spacing w:val="-3"/>
        </w:rPr>
      </w:pPr>
      <w:r>
        <w:rPr>
          <w:rFonts w:cs="CG Times" w:ascii="CG Times" w:hAnsi="CG Times"/>
          <w:b/>
          <w:spacing w:val="-3"/>
        </w:rPr>
        <w:tab/>
        <w:t>CERTIFICATE OF SERVICE</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spacing w:lineRule="auto" w:line="480"/>
        <w:rPr/>
      </w:pPr>
      <w:r>
        <w:rPr>
          <w:rFonts w:cs="CG Times" w:ascii="CG Times" w:hAnsi="CG Times"/>
          <w:spacing w:val="-3"/>
        </w:rPr>
        <w:tab/>
        <w:tab/>
        <w:t xml:space="preserve">I hereby certify that I have served a copy of the </w:t>
      </w:r>
      <w:r>
        <w:rPr>
          <w:rFonts w:cs="CG Times" w:ascii="CG Times" w:hAnsi="CG Times"/>
          <w:b/>
          <w:spacing w:val="-3"/>
        </w:rPr>
        <w:t>"INITIAL BRIEF OF KERN RIVER GAS TRANSMISSION COMPANY"</w:t>
      </w:r>
      <w:r>
        <w:rPr>
          <w:rFonts w:cs="CG Times" w:ascii="CG Times" w:hAnsi="CG Times"/>
          <w:spacing w:val="-3"/>
        </w:rPr>
        <w:t xml:space="preserve"> by U.S. Mail, first class, postage prepaid, on the attached Service List for I.99-07-003.</w:t>
      </w:r>
    </w:p>
    <w:p>
      <w:pPr>
        <w:pStyle w:val="Normal"/>
        <w:tabs>
          <w:tab w:val="clear" w:pos="720"/>
          <w:tab w:val="left" w:pos="-720" w:leader="none"/>
        </w:tabs>
        <w:suppressAutoHyphens w:val="true"/>
        <w:spacing w:lineRule="auto" w:line="480"/>
        <w:rPr>
          <w:rFonts w:ascii="CG Times" w:hAnsi="CG Times" w:cs="CG Times"/>
          <w:spacing w:val="-3"/>
        </w:rPr>
      </w:pPr>
      <w:r>
        <w:rPr>
          <w:rFonts w:cs="CG Times" w:ascii="CG Times" w:hAnsi="CG Times"/>
          <w:spacing w:val="-3"/>
        </w:rPr>
        <w:tab/>
        <w:tab/>
        <w:t>Executed on July 7, 2000 at Washington, D.C.</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tab/>
        <w:tab/>
        <w:tab/>
        <w:tab/>
        <w:tab/>
        <w:tab/>
        <w:t>______________________</w:t>
      </w:r>
      <w:r>
        <w:rPr>
          <w:rFonts w:cs="CG Times" w:ascii="CG Times" w:hAnsi="CG Times"/>
          <w:spacing w:val="-3"/>
          <w:u w:val="single"/>
        </w:rPr>
        <w:t xml:space="preserve">                             </w:t>
      </w:r>
    </w:p>
    <w:p>
      <w:pPr>
        <w:pStyle w:val="Normal"/>
        <w:tabs>
          <w:tab w:val="clear" w:pos="720"/>
          <w:tab w:val="left" w:pos="-720" w:leader="none"/>
          <w:tab w:val="left" w:pos="0" w:leader="none"/>
        </w:tabs>
        <w:suppressAutoHyphens w:val="true"/>
        <w:ind w:hanging="720" w:start="720" w:end="720"/>
        <w:rPr>
          <w:rFonts w:ascii="CG Times" w:hAnsi="CG Times" w:cs="CG Times"/>
          <w:spacing w:val="-3"/>
        </w:rPr>
      </w:pPr>
      <w:r>
        <w:rPr>
          <w:rFonts w:cs="CG Times" w:ascii="CG Times" w:hAnsi="CG Times"/>
          <w:spacing w:val="-3"/>
        </w:rPr>
        <w:tab/>
        <w:tab/>
        <w:tab/>
        <w:tab/>
        <w:tab/>
        <w:tab/>
        <w:t xml:space="preserve">         Amelia Rivera</w:t>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rPr>
          <w:rFonts w:ascii="CG Times" w:hAnsi="CG Times" w:cs="CG Times"/>
          <w:spacing w:val="-3"/>
        </w:rPr>
      </w:pPr>
      <w:r>
        <w:rPr>
          <w:rFonts w:cs="CG Times" w:ascii="CG Times" w:hAnsi="CG Times"/>
          <w:spacing w:val="-3"/>
        </w:rPr>
      </w:r>
    </w:p>
    <w:p>
      <w:pPr>
        <w:pStyle w:val="NORMALDOUBLESPACED"/>
        <w:rPr>
          <w:rFonts w:ascii="CG Times" w:hAnsi="CG Times" w:cs="CG Times"/>
          <w:spacing w:val="-3"/>
        </w:rPr>
      </w:pPr>
      <w:r>
        <w:rPr>
          <w:rFonts w:cs="CG Times" w:ascii="CG Times" w:hAnsi="CG Times"/>
          <w:spacing w:val="-3"/>
        </w:rPr>
      </w:r>
    </w:p>
    <w:p>
      <w:pPr>
        <w:pStyle w:val="NORMALDOUBLESPACED"/>
        <w:rPr/>
      </w:pPr>
      <w:r>
        <w:rPr/>
      </w:r>
    </w:p>
    <w:p>
      <w:pPr>
        <w:pStyle w:val="NORMALDOUBLESPACED"/>
        <w:rPr/>
      </w:pPr>
      <w:r>
        <w:rPr/>
      </w:r>
    </w:p>
    <w:p>
      <w:pPr>
        <w:pStyle w:val="NORMALDOUBLESPACED"/>
        <w:rPr>
          <w:sz w:val="18"/>
        </w:rPr>
      </w:pPr>
      <w:r>
        <w:rPr>
          <w:sz w:val="18"/>
        </w:rPr>
        <w:t>K\kern\1209 GIR-IB</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6">
              <wp:simplePos x="0" y="0"/>
              <wp:positionH relativeFrom="page">
                <wp:posOffset>807720</wp:posOffset>
              </wp:positionH>
              <wp:positionV relativeFrom="paragraph">
                <wp:posOffset>152400</wp:posOffset>
              </wp:positionV>
              <wp:extent cx="6156960" cy="152400"/>
              <wp:effectExtent l="0" t="0" r="0" b="0"/>
              <wp:wrapNone/>
              <wp:docPr id="1" name="Frame1"/>
              <a:graphic xmlns:a="http://schemas.openxmlformats.org/drawingml/2006/main">
                <a:graphicData uri="http://schemas.microsoft.com/office/word/2010/wordprocessingShape">
                  <wps:wsp>
                    <wps:cNvSpPr txBox="1"/>
                    <wps:spPr>
                      <a:xfrm>
                        <a:off x="0" y="0"/>
                        <a:ext cx="6156960" cy="152400"/>
                      </a:xfrm>
                      <a:prstGeom prst="rect"/>
                      <a:solidFill>
                        <a:srgbClr val="FFFFFF">
                          <a:alpha val="0"/>
                        </a:srgbClr>
                      </a:solidFill>
                    </wps:spPr>
                    <wps:txbx>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6</w:t>
                          </w:r>
                          <w:r>
                            <w:rPr>
                              <w:spacing w:val="-3"/>
                            </w:rPr>
                            <w:fldChar w:fldCharType="end"/>
                          </w:r>
                        </w:p>
                      </w:txbxContent>
                    </wps:txbx>
                    <wps:bodyPr anchor="t" lIns="635" tIns="635" rIns="635" bIns="635">
                      <a:noAutofit/>
                    </wps:bodyPr>
                  </wps:wsp>
                </a:graphicData>
              </a:graphic>
            </wp:anchor>
          </w:drawing>
        </mc:Choice>
        <mc:Fallback>
          <w:pict>
            <v:rect fillcolor="#FFFFFF" style="position:absolute;rotation:-0;width:484.8pt;height:12pt;mso-wrap-distance-left:9.05pt;mso-wrap-distance-right:9.05pt;mso-wrap-distance-top:0pt;mso-wrap-distance-bottom:0pt;margin-top:12pt;mso-position-vertical-relative:text;margin-left:63.6pt;mso-position-horizontal-relative:page">
              <v:fill opacity="0f"/>
              <v:textbox inset="0.000694444444444445in,0.000694444444444445in,0.000694444444444445in,0.000694444444444445in">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6</w:t>
                    </w:r>
                    <w:r>
                      <w:rPr>
                        <w:spacing w:val="-3"/>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left" w:pos="-720" w:leader="none"/>
      </w:tabs>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1" allowOverlap="1" relativeHeight="0">
              <wp:simplePos x="0" y="0"/>
              <wp:positionH relativeFrom="page">
                <wp:posOffset>807720</wp:posOffset>
              </wp:positionH>
              <wp:positionV relativeFrom="paragraph">
                <wp:posOffset>152400</wp:posOffset>
              </wp:positionV>
              <wp:extent cx="6156960" cy="152400"/>
              <wp:effectExtent l="0" t="0" r="0" b="0"/>
              <wp:wrapNone/>
              <wp:docPr id="2" name="Frame2"/>
              <a:graphic xmlns:a="http://schemas.openxmlformats.org/drawingml/2006/main">
                <a:graphicData uri="http://schemas.microsoft.com/office/word/2010/wordprocessingShape">
                  <wps:wsp>
                    <wps:cNvSpPr txBox="1"/>
                    <wps:spPr>
                      <a:xfrm>
                        <a:off x="0" y="0"/>
                        <a:ext cx="6156960" cy="152400"/>
                      </a:xfrm>
                      <a:prstGeom prst="rect"/>
                      <a:solidFill>
                        <a:srgbClr val="FFFFFF">
                          <a:alpha val="0"/>
                        </a:srgbClr>
                      </a:solidFill>
                    </wps:spPr>
                    <wps:txbx>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0</w:t>
                          </w:r>
                          <w:r>
                            <w:rPr>
                              <w:spacing w:val="-3"/>
                            </w:rPr>
                            <w:fldChar w:fldCharType="end"/>
                          </w:r>
                        </w:p>
                      </w:txbxContent>
                    </wps:txbx>
                    <wps:bodyPr anchor="t" lIns="635" tIns="635" rIns="635" bIns="635">
                      <a:noAutofit/>
                    </wps:bodyPr>
                  </wps:wsp>
                </a:graphicData>
              </a:graphic>
            </wp:anchor>
          </w:drawing>
        </mc:Choice>
        <mc:Fallback>
          <w:pict>
            <v:rect fillcolor="#FFFFFF" style="position:absolute;rotation:-0;width:484.8pt;height:12pt;mso-wrap-distance-left:9.05pt;mso-wrap-distance-right:9.05pt;mso-wrap-distance-top:0pt;mso-wrap-distance-bottom:0pt;margin-top:12pt;mso-position-vertical-relative:text;margin-left:63.6pt;mso-position-horizontal-relative:page">
              <v:fill opacity="0f"/>
              <v:textbox inset="0.000694444444444445in,0.000694444444444445in,0.000694444444444445in,0.000694444444444445in">
                <w:txbxContent>
                  <w:p>
                    <w:pPr>
                      <w:pStyle w:val="Normal"/>
                      <w:tabs>
                        <w:tab w:val="clear" w:pos="720"/>
                        <w:tab w:val="center" w:pos="4848" w:leader="none"/>
                        <w:tab w:val="right" w:pos="9696" w:leader="none"/>
                      </w:tabs>
                      <w:rPr/>
                    </w:pPr>
                    <w:r>
                      <w:rPr/>
                      <w:tab/>
                    </w:r>
                    <w:r>
                      <w:rPr>
                        <w:spacing w:val="-3"/>
                      </w:rPr>
                      <w:fldChar w:fldCharType="begin"/>
                    </w:r>
                    <w:r>
                      <w:rPr>
                        <w:spacing w:val="-3"/>
                      </w:rPr>
                      <w:instrText xml:space="preserve"> PAGE \* ARABIC </w:instrText>
                    </w:r>
                    <w:r>
                      <w:rPr>
                        <w:spacing w:val="-3"/>
                      </w:rPr>
                      <w:fldChar w:fldCharType="separate"/>
                    </w:r>
                    <w:r>
                      <w:rPr>
                        <w:spacing w:val="-3"/>
                      </w:rPr>
                      <w:t>0</w:t>
                    </w:r>
                    <w:r>
                      <w:rPr>
                        <w:spacing w:val="-3"/>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2000-07-06T18:04:00Z</dcterms:created>
  <dc:creator>Michael Thompson</dc:creator>
  <dc:description/>
  <dc:language>en-CA</dc:language>
  <cp:lastModifiedBy>Amelia Rivera</cp:lastModifiedBy>
  <dcterms:modified xsi:type="dcterms:W3CDTF">2000-07-07T16:04:00Z</dcterms:modified>
  <cp:revision>14</cp:revision>
  <dc:subject/>
  <dc:title>BEFORE THE PUBLIC UTILITIES COMMISSION OF THE STATE OF CALIFORNIA</dc:title>
</cp:coreProperties>
</file>